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579" w:rsidRPr="00191CB1" w:rsidRDefault="007A5BA8" w:rsidP="00732579">
      <w:pPr>
        <w:rPr>
          <w:rFonts w:ascii="Helvetica" w:hAnsi="Helvetica" w:cs="Arial"/>
          <w:b/>
          <w:i/>
          <w:szCs w:val="24"/>
          <w:lang w:val="nl-NL"/>
        </w:rPr>
      </w:pPr>
      <w:r>
        <w:rPr>
          <w:rFonts w:ascii="Helvetica" w:hAnsi="Helvetica" w:cs="Arial"/>
          <w:b/>
          <w:sz w:val="28"/>
          <w:szCs w:val="28"/>
          <w:lang w:val="nl-NL"/>
        </w:rPr>
        <w:t>43</w:t>
      </w:r>
      <w:r w:rsidR="00732579" w:rsidRPr="00191CB1">
        <w:rPr>
          <w:rFonts w:ascii="Helvetica" w:hAnsi="Helvetica" w:cs="Arial"/>
          <w:b/>
          <w:sz w:val="28"/>
          <w:szCs w:val="28"/>
          <w:lang w:val="nl-NL"/>
        </w:rPr>
        <w:t>0 KILOMETER FIETSPADEN TUSSEN BERGEN EN MEREN</w:t>
      </w:r>
    </w:p>
    <w:p w:rsidR="00732579" w:rsidRPr="00191CB1" w:rsidRDefault="00732579" w:rsidP="00732579">
      <w:pPr>
        <w:jc w:val="both"/>
        <w:rPr>
          <w:rFonts w:ascii="Helvetica" w:hAnsi="Helvetica" w:cs="Arial"/>
          <w:b/>
          <w:sz w:val="22"/>
          <w:szCs w:val="22"/>
          <w:lang w:val="nl-NL"/>
        </w:rPr>
      </w:pPr>
    </w:p>
    <w:p w:rsidR="00732579" w:rsidRPr="00191CB1" w:rsidRDefault="00732579" w:rsidP="00732579">
      <w:pPr>
        <w:jc w:val="both"/>
        <w:rPr>
          <w:rFonts w:ascii="Helvetica" w:hAnsi="Helvetica" w:cs="Arial"/>
          <w:b/>
          <w:szCs w:val="24"/>
          <w:lang w:val="nl-NL"/>
        </w:rPr>
      </w:pPr>
      <w:r w:rsidRPr="00191CB1">
        <w:rPr>
          <w:rFonts w:ascii="Helvetica" w:hAnsi="Helvetica" w:cs="Arial"/>
          <w:b/>
          <w:szCs w:val="24"/>
          <w:lang w:val="nl-NL"/>
        </w:rPr>
        <w:t xml:space="preserve">Trentino beschikt over een groot netwerk van fietspaden. Dankzij de kwalitatief goede wegen, de e-bike mogelijkheden, de bus- en treinverbindingen waar fietsen zijn toegestaan en de enorme keuze aan routes over relatief vlak terrein, is een fietstocht door de natuur een activiteit die voor iedereen is weggelegd. </w:t>
      </w:r>
    </w:p>
    <w:p w:rsidR="00732579" w:rsidRPr="00191CB1" w:rsidRDefault="00732579" w:rsidP="00732579">
      <w:pPr>
        <w:jc w:val="both"/>
        <w:rPr>
          <w:rFonts w:ascii="Helvetica" w:hAnsi="Helvetica" w:cs="Arial"/>
          <w:b/>
          <w:sz w:val="22"/>
          <w:szCs w:val="22"/>
          <w:lang w:val="nl-NL"/>
        </w:rPr>
      </w:pPr>
    </w:p>
    <w:p w:rsidR="00732579" w:rsidRPr="00191CB1" w:rsidRDefault="00732579" w:rsidP="00732579">
      <w:pPr>
        <w:pStyle w:val="Default"/>
        <w:jc w:val="both"/>
        <w:rPr>
          <w:rFonts w:ascii="Helvetica" w:hAnsi="Helvetica" w:cs="Arial"/>
          <w:sz w:val="22"/>
          <w:szCs w:val="22"/>
          <w:lang w:val="nl-NL" w:eastAsia="it-IT" w:bidi="ar-SA"/>
        </w:rPr>
      </w:pPr>
      <w:r w:rsidRPr="00191CB1">
        <w:rPr>
          <w:rFonts w:ascii="Helvetica" w:hAnsi="Helvetica" w:cs="Arial"/>
          <w:sz w:val="22"/>
          <w:szCs w:val="22"/>
          <w:lang w:val="nl-NL" w:eastAsia="it-IT" w:bidi="ar-SA"/>
        </w:rPr>
        <w:t xml:space="preserve">Het aantal recreatieve fietsers op de paden in Trentino is de laatste jaren enorm toegenomen. De valleien en de adembenemende uitzichten in de regio lijken op maat gesneden voor de recreatieve fietser. De paden die wettelijk bedoeld zijn voor zowel fietsers als voetgangers zijn aangeduid met moeilijkheidsgraden zodat fietsers goed kunnen beoordelen welke route te kiezen. In totaal zijn in de regio dertien routes samengesteld die door de verschillende valleien van Trentino leiden: Valle dell’Adige, Valsugana, Val di Femme en Fassa, Valle del Primiero, Basso Sarca, Valle dei Laghi, Val Rendena, Val del Chiese, Valle di Ledro, Val di Sole e Alta Val di Non. De langste is de route door het Adige-dal. De 82 kilometer lange route door de wijngaarden en het platteland vormt een bijzondere verbinding van noord naar zuid, tussen de Alpen en de Po-vlakte. </w:t>
      </w:r>
    </w:p>
    <w:p w:rsidR="00732579" w:rsidRPr="00191CB1" w:rsidRDefault="00732579" w:rsidP="00732579">
      <w:pPr>
        <w:pStyle w:val="Default"/>
        <w:jc w:val="both"/>
        <w:rPr>
          <w:rFonts w:ascii="Helvetica" w:hAnsi="Helvetica" w:cs="Arial"/>
          <w:sz w:val="22"/>
          <w:szCs w:val="22"/>
          <w:lang w:val="nl-NL" w:eastAsia="it-IT" w:bidi="ar-SA"/>
        </w:rPr>
      </w:pPr>
    </w:p>
    <w:p w:rsidR="00732579" w:rsidRPr="00191CB1" w:rsidRDefault="00732579" w:rsidP="00732579">
      <w:pPr>
        <w:pStyle w:val="Default"/>
        <w:jc w:val="both"/>
        <w:rPr>
          <w:rFonts w:ascii="Helvetica" w:hAnsi="Helvetica" w:cs="Arial"/>
          <w:color w:val="FF0000"/>
          <w:sz w:val="22"/>
          <w:szCs w:val="22"/>
          <w:lang w:val="nl-NL" w:eastAsia="it-IT" w:bidi="ar-SA"/>
        </w:rPr>
      </w:pPr>
      <w:r w:rsidRPr="00191CB1">
        <w:rPr>
          <w:rFonts w:ascii="Helvetica" w:hAnsi="Helvetica" w:cs="Arial"/>
          <w:sz w:val="22"/>
          <w:szCs w:val="22"/>
          <w:lang w:val="nl-NL" w:eastAsia="it-IT" w:bidi="ar-SA"/>
        </w:rPr>
        <w:t>Het 80 kilometer lange fietspad van Valsugana werd in 2014 door de Fiets en Wandelbeurs in Amsterdam genomineerd voor de Fietsroute van het Jaar: een waardevolle erkenning voor de hoogwaardige fiets-voorzieningen volgens de Nederlandse norm. De route werd door de jury geprezen vanwege de toegankelijkheid (slechts 270 meter hoogteverschil), het afwisselende landschap en de uitstekende fietsvoorzieningen langs de route.</w:t>
      </w:r>
      <w:r w:rsidRPr="00191CB1">
        <w:rPr>
          <w:rFonts w:ascii="Helvetica" w:hAnsi="Helvetica" w:cs="Arial"/>
          <w:color w:val="FF0000"/>
          <w:sz w:val="22"/>
          <w:szCs w:val="22"/>
          <w:lang w:val="nl-NL" w:eastAsia="it-IT" w:bidi="ar-SA"/>
        </w:rPr>
        <w:t xml:space="preserve"> </w:t>
      </w:r>
    </w:p>
    <w:p w:rsidR="00732579" w:rsidRPr="00191CB1" w:rsidRDefault="00732579" w:rsidP="00732579">
      <w:pPr>
        <w:pStyle w:val="Default"/>
        <w:jc w:val="both"/>
        <w:rPr>
          <w:rFonts w:ascii="Helvetica" w:hAnsi="Helvetica" w:cs="Arial"/>
          <w:color w:val="FF0000"/>
          <w:sz w:val="22"/>
          <w:szCs w:val="22"/>
          <w:lang w:val="nl-NL" w:eastAsia="it-IT" w:bidi="ar-SA"/>
        </w:rPr>
      </w:pPr>
    </w:p>
    <w:p w:rsidR="00732579" w:rsidRPr="00191CB1" w:rsidRDefault="00732579" w:rsidP="00732579">
      <w:pPr>
        <w:pStyle w:val="Default"/>
        <w:jc w:val="both"/>
        <w:rPr>
          <w:rFonts w:ascii="Helvetica" w:hAnsi="Helvetica" w:cs="Arial"/>
          <w:b/>
          <w:color w:val="000000" w:themeColor="text1"/>
          <w:sz w:val="22"/>
          <w:szCs w:val="22"/>
          <w:lang w:val="nl-NL" w:eastAsia="it-IT" w:bidi="ar-SA"/>
        </w:rPr>
      </w:pPr>
      <w:r w:rsidRPr="00191CB1">
        <w:rPr>
          <w:rFonts w:ascii="Helvetica" w:hAnsi="Helvetica" w:cs="Arial"/>
          <w:b/>
          <w:color w:val="000000" w:themeColor="text1"/>
          <w:sz w:val="22"/>
          <w:szCs w:val="22"/>
          <w:lang w:val="nl-NL" w:eastAsia="it-IT" w:bidi="ar-SA"/>
        </w:rPr>
        <w:t>Nieuw: SuperBikeSharing</w:t>
      </w:r>
    </w:p>
    <w:p w:rsidR="00732579" w:rsidRPr="00191CB1" w:rsidRDefault="00732579" w:rsidP="00732579">
      <w:pPr>
        <w:pStyle w:val="Default"/>
        <w:jc w:val="both"/>
        <w:rPr>
          <w:rFonts w:ascii="Helvetica" w:hAnsi="Helvetica" w:cs="Arial"/>
          <w:color w:val="000000" w:themeColor="text1"/>
          <w:sz w:val="22"/>
          <w:szCs w:val="22"/>
          <w:lang w:val="nl-NL" w:eastAsia="it-IT" w:bidi="ar-SA"/>
        </w:rPr>
      </w:pPr>
      <w:r w:rsidRPr="00191CB1">
        <w:rPr>
          <w:rFonts w:ascii="Helvetica" w:hAnsi="Helvetica" w:cs="Arial"/>
          <w:color w:val="000000" w:themeColor="text1"/>
          <w:sz w:val="22"/>
          <w:szCs w:val="22"/>
          <w:lang w:val="nl-NL" w:eastAsia="it-IT" w:bidi="ar-SA"/>
        </w:rPr>
        <w:t xml:space="preserve">In 2016 heeft Trentino een nieuw initiatief gelanceerd. Onder de noemer SuperBikeSharing is het mogelijk om op één locatie een fiets te huren en deze op een andere bestemming weer in te leveren. Hierdoor kunnen bezoekers onbezorgd op de pedalen trappen, zonder de cirkel rond te hoeven maken. De 500 fietsen van hoogwaardige kwaliteit worden aangeboden op 6 punten in Trento, Rovereto, Arco, Valsugana en Val di Fiemme. De organisatoren van het netwerken dragen zorg voor een goede verspreiding zodat de fietstoerist nooit mis hoeft te grijpen. </w:t>
      </w:r>
    </w:p>
    <w:p w:rsidR="00732579" w:rsidRPr="00191CB1" w:rsidRDefault="00732579" w:rsidP="00732579">
      <w:pPr>
        <w:pStyle w:val="Default"/>
        <w:jc w:val="both"/>
        <w:rPr>
          <w:rFonts w:ascii="Helvetica" w:hAnsi="Helvetica" w:cs="Arial"/>
          <w:b/>
          <w:color w:val="000000" w:themeColor="text1"/>
          <w:sz w:val="22"/>
          <w:szCs w:val="22"/>
          <w:lang w:val="nl-NL" w:eastAsia="it-IT" w:bidi="ar-SA"/>
        </w:rPr>
      </w:pPr>
    </w:p>
    <w:p w:rsidR="00732579" w:rsidRPr="00191CB1" w:rsidRDefault="00732579" w:rsidP="00732579">
      <w:pPr>
        <w:jc w:val="both"/>
        <w:outlineLvl w:val="0"/>
        <w:rPr>
          <w:rFonts w:ascii="Helvetica" w:hAnsi="Helvetica" w:cs="Arial"/>
          <w:b/>
          <w:sz w:val="22"/>
          <w:szCs w:val="22"/>
          <w:lang w:val="nl-NL"/>
        </w:rPr>
      </w:pPr>
      <w:r w:rsidRPr="00191CB1">
        <w:rPr>
          <w:rFonts w:ascii="Helvetica" w:hAnsi="Helvetica" w:cs="Arial"/>
          <w:b/>
          <w:sz w:val="22"/>
          <w:szCs w:val="22"/>
          <w:lang w:val="nl-NL"/>
        </w:rPr>
        <w:t>Bicigrills als natuurlijk oplaadpunt en overige fietsvoorzieningen</w:t>
      </w:r>
    </w:p>
    <w:p w:rsidR="00732579" w:rsidRPr="00191CB1" w:rsidRDefault="00732579" w:rsidP="00732579">
      <w:pPr>
        <w:jc w:val="both"/>
        <w:rPr>
          <w:rFonts w:ascii="Helvetica" w:hAnsi="Helvetica" w:cs="Arial"/>
          <w:sz w:val="22"/>
          <w:szCs w:val="22"/>
          <w:lang w:val="nl-NL"/>
        </w:rPr>
      </w:pPr>
      <w:r w:rsidRPr="00191CB1">
        <w:rPr>
          <w:rFonts w:ascii="Helvetica" w:hAnsi="Helvetica" w:cs="Arial"/>
          <w:sz w:val="22"/>
          <w:szCs w:val="22"/>
          <w:lang w:val="nl-NL"/>
        </w:rPr>
        <w:t xml:space="preserve">De infrastructuur en de serviceverlening is in Trentino van hoog niveau. Om dit te ondersteunen heeft de regio zogenaamde ‘Bicigrills’ geopend, een soort tankstation voor de fietser. De veertien Bicigrills zijn direct toegankelijk vanaf de fietspaden en voorzien de fietser van een natje en een droogje en informatie over bezienswaardigheden in de omgeving. Alle ‘oplaadpunten’ beschikken over sanitaire voorzieningen en bieden fietsreparatiemiddelen en -assistentie indien gewenst. Om de leukste foto’s van de route te delen of om wat informatie op te zoeken in één van de apps van Trentino beschikken veel Bicigrills nu ook over Wi-Fi. </w:t>
      </w:r>
    </w:p>
    <w:p w:rsidR="00732579" w:rsidRPr="00191CB1" w:rsidRDefault="00732579" w:rsidP="00732579">
      <w:pPr>
        <w:jc w:val="both"/>
        <w:rPr>
          <w:rFonts w:ascii="Helvetica" w:hAnsi="Helvetica" w:cs="Arial"/>
          <w:sz w:val="22"/>
          <w:szCs w:val="22"/>
          <w:lang w:val="nl-NL"/>
        </w:rPr>
      </w:pPr>
    </w:p>
    <w:p w:rsidR="00732579" w:rsidRPr="00191CB1" w:rsidRDefault="00732579" w:rsidP="00732579">
      <w:pPr>
        <w:jc w:val="both"/>
        <w:rPr>
          <w:rFonts w:ascii="Helvetica" w:hAnsi="Helvetica" w:cs="Arial"/>
          <w:sz w:val="22"/>
          <w:szCs w:val="22"/>
          <w:lang w:val="nl-NL"/>
        </w:rPr>
      </w:pPr>
      <w:r w:rsidRPr="00191CB1">
        <w:rPr>
          <w:rFonts w:ascii="Helvetica" w:hAnsi="Helvetica" w:cs="Arial"/>
          <w:sz w:val="22"/>
          <w:szCs w:val="22"/>
          <w:lang w:val="nl-NL"/>
        </w:rPr>
        <w:t xml:space="preserve">Ook het openbaar vervoer in Trentino houdt rekening met fietsers. Fietsen mogen in bus en trein vervoert worden voor de vaste prijs van 2 euro per traject. Tussen Trento en Bassano rijdt tevens een bus met 50 zitplaatsen en een aanhangwagen voor 35 fietsen. Deze extra service in Valsugana bestaat naast de trein ‘Minuetto’ op dezelfde route. </w:t>
      </w:r>
    </w:p>
    <w:p w:rsidR="00732579" w:rsidRPr="00191CB1" w:rsidRDefault="00732579" w:rsidP="00732579">
      <w:pPr>
        <w:rPr>
          <w:rFonts w:ascii="Helvetica" w:hAnsi="Helvetica" w:cs="Arial"/>
          <w:sz w:val="22"/>
          <w:szCs w:val="22"/>
          <w:lang w:val="nl-NL"/>
        </w:rPr>
      </w:pPr>
    </w:p>
    <w:p w:rsidR="000F7520" w:rsidRPr="00191CB1" w:rsidRDefault="00732579" w:rsidP="00732579">
      <w:pPr>
        <w:rPr>
          <w:rFonts w:ascii="Helvetica" w:hAnsi="Helvetica" w:cs="Arial"/>
          <w:sz w:val="22"/>
          <w:szCs w:val="22"/>
          <w:lang w:val="nl-NL"/>
        </w:rPr>
      </w:pPr>
      <w:r w:rsidRPr="00191CB1">
        <w:rPr>
          <w:rFonts w:ascii="Helvetica" w:hAnsi="Helvetica" w:cs="Arial"/>
          <w:sz w:val="22"/>
          <w:szCs w:val="22"/>
          <w:lang w:val="nl-NL"/>
        </w:rPr>
        <w:t xml:space="preserve">Meer informatie over fietsen in Trentino is te vinden op </w:t>
      </w:r>
      <w:hyperlink r:id="rId8" w:history="1">
        <w:r w:rsidRPr="00191CB1">
          <w:rPr>
            <w:rFonts w:ascii="Helvetica" w:hAnsi="Helvetica"/>
            <w:lang w:val="nl-NL"/>
          </w:rPr>
          <w:t>www.</w:t>
        </w:r>
        <w:r w:rsidRPr="00191CB1">
          <w:rPr>
            <w:rFonts w:ascii="Helvetica" w:hAnsi="Helvetica" w:cs="Arial"/>
            <w:sz w:val="22"/>
            <w:szCs w:val="22"/>
            <w:lang w:val="nl-NL"/>
          </w:rPr>
          <w:t>visittrentino.info/fietsen</w:t>
        </w:r>
      </w:hyperlink>
      <w:r w:rsidRPr="00191CB1">
        <w:rPr>
          <w:rFonts w:ascii="Helvetica" w:hAnsi="Helvetica" w:cs="Arial"/>
          <w:sz w:val="22"/>
          <w:szCs w:val="22"/>
          <w:lang w:val="nl-NL"/>
        </w:rPr>
        <w:t xml:space="preserve"> </w:t>
      </w:r>
      <w:r w:rsidRPr="00191CB1">
        <w:rPr>
          <w:rFonts w:ascii="Helvetica" w:hAnsi="Helvetica"/>
          <w:color w:val="000000"/>
          <w:lang w:val="en-US"/>
        </w:rPr>
        <w:t xml:space="preserve">  </w:t>
      </w:r>
    </w:p>
    <w:p w:rsidR="00415271" w:rsidRPr="00191CB1" w:rsidRDefault="00415271" w:rsidP="00B71DAD">
      <w:pPr>
        <w:rPr>
          <w:rFonts w:ascii="Helvetica" w:hAnsi="Helvetica" w:cs="Arial"/>
          <w:sz w:val="22"/>
          <w:szCs w:val="22"/>
          <w:lang w:val="nl-NL"/>
        </w:rPr>
      </w:pPr>
    </w:p>
    <w:p w:rsidR="00B71DAD" w:rsidRPr="00191CB1" w:rsidRDefault="00B71DAD" w:rsidP="00B71DAD">
      <w:pPr>
        <w:rPr>
          <w:rFonts w:ascii="Helvetica" w:hAnsi="Helvetica" w:cs="Arial"/>
          <w:sz w:val="22"/>
          <w:szCs w:val="22"/>
          <w:lang w:val="nl-NL"/>
        </w:rPr>
      </w:pPr>
      <w:r w:rsidRPr="00191CB1">
        <w:rPr>
          <w:rFonts w:ascii="Helvetica" w:hAnsi="Helvetica" w:cs="Arial"/>
          <w:sz w:val="22"/>
          <w:szCs w:val="22"/>
          <w:lang w:val="nl-NL"/>
        </w:rPr>
        <w:t>Trento, maart 2017</w:t>
      </w:r>
    </w:p>
    <w:p w:rsidR="00266DC4" w:rsidRPr="00191CB1" w:rsidRDefault="00266DC4" w:rsidP="00325282">
      <w:pPr>
        <w:rPr>
          <w:rFonts w:ascii="Helvetica" w:hAnsi="Helvetica" w:cs="Arial"/>
          <w:sz w:val="22"/>
          <w:szCs w:val="22"/>
          <w:lang w:val="en-US"/>
        </w:rPr>
      </w:pPr>
    </w:p>
    <w:p w:rsidR="00B71DAD" w:rsidRDefault="00B71DAD" w:rsidP="00325282">
      <w:pPr>
        <w:rPr>
          <w:rFonts w:cs="Arial"/>
          <w:sz w:val="22"/>
          <w:szCs w:val="22"/>
          <w:lang w:val="en-US"/>
        </w:rPr>
      </w:pPr>
    </w:p>
    <w:p w:rsidR="00B71DAD" w:rsidRPr="00B71DAD" w:rsidRDefault="00B71DAD" w:rsidP="00325282">
      <w:pPr>
        <w:rPr>
          <w:rFonts w:cs="Arial"/>
          <w:sz w:val="22"/>
          <w:szCs w:val="22"/>
          <w:lang w:val="en-US"/>
        </w:rPr>
      </w:pPr>
    </w:p>
    <w:p w:rsidR="00266DC4" w:rsidRPr="00191CB1" w:rsidRDefault="00266DC4" w:rsidP="00266DC4">
      <w:pPr>
        <w:jc w:val="both"/>
        <w:rPr>
          <w:rFonts w:ascii="Helvetica" w:hAnsi="Helvetica" w:cs="Arial"/>
          <w:b/>
          <w:sz w:val="22"/>
          <w:szCs w:val="22"/>
          <w:lang w:val="nl-NL"/>
        </w:rPr>
      </w:pPr>
      <w:r w:rsidRPr="00191CB1">
        <w:rPr>
          <w:rFonts w:ascii="Helvetica" w:hAnsi="Helvetica" w:cs="Arial"/>
          <w:b/>
          <w:sz w:val="22"/>
          <w:szCs w:val="22"/>
          <w:lang w:val="nl-NL"/>
        </w:rPr>
        <w:t>PRESS OFFICE</w:t>
      </w:r>
    </w:p>
    <w:p w:rsidR="00266DC4" w:rsidRPr="00191CB1" w:rsidRDefault="00266DC4" w:rsidP="00266DC4">
      <w:pPr>
        <w:jc w:val="both"/>
        <w:rPr>
          <w:rFonts w:ascii="Helvetica" w:hAnsi="Helvetica" w:cs="Arial"/>
          <w:sz w:val="22"/>
          <w:szCs w:val="22"/>
          <w:lang w:val="nl-NL"/>
        </w:rPr>
      </w:pPr>
      <w:r w:rsidRPr="00191CB1">
        <w:rPr>
          <w:rFonts w:ascii="Helvetica" w:hAnsi="Helvetica" w:cs="Arial"/>
          <w:sz w:val="22"/>
          <w:szCs w:val="22"/>
          <w:lang w:val="nl-NL"/>
        </w:rPr>
        <w:t>Tel. 0039 0461 219362</w:t>
      </w:r>
    </w:p>
    <w:p w:rsidR="00266DC4" w:rsidRPr="00191CB1" w:rsidRDefault="00266DC4" w:rsidP="00266DC4">
      <w:pPr>
        <w:jc w:val="both"/>
        <w:rPr>
          <w:rFonts w:ascii="Helvetica" w:hAnsi="Helvetica" w:cs="Arial"/>
          <w:sz w:val="22"/>
          <w:szCs w:val="22"/>
          <w:lang w:val="nl-NL"/>
        </w:rPr>
      </w:pPr>
      <w:r w:rsidRPr="00191CB1">
        <w:rPr>
          <w:rFonts w:ascii="Helvetica" w:hAnsi="Helvetica" w:cs="Arial"/>
          <w:sz w:val="22"/>
          <w:szCs w:val="22"/>
          <w:lang w:val="nl-NL"/>
        </w:rPr>
        <w:t>press@trentinomarketing.org</w:t>
      </w:r>
    </w:p>
    <w:p w:rsidR="00415271" w:rsidRPr="00191CB1" w:rsidRDefault="00266DC4" w:rsidP="00266DC4">
      <w:pPr>
        <w:jc w:val="both"/>
        <w:rPr>
          <w:rFonts w:ascii="Helvetica" w:hAnsi="Helvetica" w:cs="Arial"/>
          <w:sz w:val="22"/>
          <w:szCs w:val="22"/>
          <w:lang w:val="nl-NL"/>
        </w:rPr>
      </w:pPr>
      <w:r w:rsidRPr="00191CB1">
        <w:rPr>
          <w:rFonts w:ascii="Helvetica" w:hAnsi="Helvetica" w:cs="Arial"/>
          <w:noProof/>
          <w:sz w:val="22"/>
          <w:szCs w:val="22"/>
        </w:rPr>
        <w:drawing>
          <wp:inline distT="0" distB="0" distL="0" distR="0">
            <wp:extent cx="161925" cy="133350"/>
            <wp:effectExtent l="0" t="0" r="9525" b="0"/>
            <wp:docPr id="6" name="Immagine 2" descr="Twitter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_logo_blu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 cy="133350"/>
                    </a:xfrm>
                    <a:prstGeom prst="rect">
                      <a:avLst/>
                    </a:prstGeom>
                    <a:noFill/>
                    <a:ln>
                      <a:noFill/>
                    </a:ln>
                  </pic:spPr>
                </pic:pic>
              </a:graphicData>
            </a:graphic>
          </wp:inline>
        </w:drawing>
      </w:r>
      <w:r w:rsidRPr="00191CB1">
        <w:rPr>
          <w:rFonts w:ascii="Helvetica" w:hAnsi="Helvetica" w:cs="Arial"/>
          <w:sz w:val="22"/>
          <w:szCs w:val="22"/>
          <w:lang w:val="nl-NL"/>
        </w:rPr>
        <w:t xml:space="preserve"> @PressTrentino</w:t>
      </w:r>
    </w:p>
    <w:p w:rsidR="00415271" w:rsidRPr="00191CB1" w:rsidRDefault="00415271" w:rsidP="00415271">
      <w:pPr>
        <w:rPr>
          <w:rFonts w:ascii="Helvetica" w:hAnsi="Helvetica" w:cs="Arial"/>
          <w:sz w:val="22"/>
          <w:szCs w:val="22"/>
          <w:lang w:val="nl-NL"/>
        </w:rPr>
      </w:pPr>
    </w:p>
    <w:p w:rsidR="00415271" w:rsidRPr="00191CB1" w:rsidRDefault="00415271" w:rsidP="00415271">
      <w:pPr>
        <w:rPr>
          <w:rFonts w:ascii="Helvetica" w:hAnsi="Helvetica" w:cs="Arial"/>
          <w:sz w:val="22"/>
          <w:szCs w:val="22"/>
          <w:lang w:val="nl-NL"/>
        </w:rPr>
      </w:pPr>
    </w:p>
    <w:p w:rsidR="00415271" w:rsidRPr="00191CB1" w:rsidRDefault="00415271" w:rsidP="00415271">
      <w:pPr>
        <w:rPr>
          <w:rFonts w:ascii="Helvetica" w:hAnsi="Helvetica"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Pr="00415271" w:rsidRDefault="00415271" w:rsidP="00415271">
      <w:pPr>
        <w:rPr>
          <w:rFonts w:cs="Arial"/>
          <w:sz w:val="22"/>
          <w:szCs w:val="22"/>
          <w:lang w:val="nl-NL"/>
        </w:rPr>
      </w:pPr>
    </w:p>
    <w:p w:rsidR="00415271" w:rsidRDefault="00415271" w:rsidP="00415271">
      <w:pPr>
        <w:rPr>
          <w:rFonts w:cs="Arial"/>
          <w:sz w:val="22"/>
          <w:szCs w:val="22"/>
          <w:lang w:val="nl-NL"/>
        </w:rPr>
      </w:pPr>
    </w:p>
    <w:p w:rsidR="00191CB1" w:rsidRDefault="00191CB1" w:rsidP="00415271">
      <w:pPr>
        <w:rPr>
          <w:rFonts w:cs="Arial"/>
          <w:sz w:val="22"/>
          <w:szCs w:val="22"/>
          <w:lang w:val="nl-NL"/>
        </w:rPr>
      </w:pPr>
    </w:p>
    <w:p w:rsidR="00191CB1" w:rsidRDefault="00191CB1" w:rsidP="00415271">
      <w:pPr>
        <w:rPr>
          <w:rFonts w:cs="Arial"/>
          <w:sz w:val="22"/>
          <w:szCs w:val="22"/>
          <w:lang w:val="nl-NL"/>
        </w:rPr>
      </w:pPr>
    </w:p>
    <w:p w:rsidR="00191CB1" w:rsidRDefault="00191CB1" w:rsidP="00415271">
      <w:pPr>
        <w:rPr>
          <w:rFonts w:cs="Arial"/>
          <w:sz w:val="22"/>
          <w:szCs w:val="22"/>
          <w:lang w:val="nl-NL"/>
        </w:rPr>
      </w:pPr>
    </w:p>
    <w:p w:rsidR="00191CB1" w:rsidRDefault="00191CB1" w:rsidP="00415271">
      <w:pPr>
        <w:rPr>
          <w:rFonts w:cs="Arial"/>
          <w:sz w:val="22"/>
          <w:szCs w:val="22"/>
          <w:lang w:val="nl-NL"/>
        </w:rPr>
      </w:pPr>
    </w:p>
    <w:p w:rsidR="00415271" w:rsidRPr="00415271" w:rsidRDefault="00415271" w:rsidP="00415271">
      <w:pPr>
        <w:rPr>
          <w:rFonts w:cs="Arial"/>
          <w:sz w:val="22"/>
          <w:szCs w:val="22"/>
          <w:lang w:val="nl-NL"/>
        </w:rPr>
      </w:pPr>
    </w:p>
    <w:p w:rsidR="00266DC4" w:rsidRPr="00415271" w:rsidRDefault="00415271" w:rsidP="00415271">
      <w:pPr>
        <w:rPr>
          <w:rFonts w:cs="Arial"/>
          <w:sz w:val="22"/>
          <w:szCs w:val="22"/>
          <w:lang w:val="nl-NL"/>
        </w:rPr>
      </w:pPr>
      <w:r w:rsidRPr="00415271">
        <w:rPr>
          <w:rFonts w:cs="Arial"/>
          <w:noProof/>
          <w:sz w:val="22"/>
          <w:szCs w:val="22"/>
        </w:rPr>
        <w:drawing>
          <wp:inline distT="0" distB="0" distL="0" distR="0">
            <wp:extent cx="6150610" cy="1112520"/>
            <wp:effectExtent l="19050" t="0" r="2540" b="0"/>
            <wp:docPr id="4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266DC4" w:rsidRPr="00415271" w:rsidSect="00A94801">
      <w:headerReference w:type="default" r:id="rId11"/>
      <w:footerReference w:type="default" r:id="rId12"/>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560535" w:rsidP="00EA71D7">
    <w:pPr>
      <w:pStyle w:val="Pidipagina"/>
      <w:jc w:val="center"/>
    </w:pPr>
  </w:p>
  <w:tbl>
    <w:tblPr>
      <w:tblW w:w="0" w:type="auto"/>
      <w:tblLook w:val="04A0"/>
    </w:tblPr>
    <w:tblGrid>
      <w:gridCol w:w="5116"/>
      <w:gridCol w:w="5116"/>
    </w:tblGrid>
    <w:tr w:rsidR="00560535" w:rsidRPr="00BC32E2" w:rsidTr="00BC32E2">
      <w:tc>
        <w:tcPr>
          <w:tcW w:w="5116" w:type="dxa"/>
          <w:shd w:val="clear" w:color="auto" w:fill="auto"/>
        </w:tcPr>
        <w:p w:rsidR="00560535" w:rsidRPr="00BC32E2" w:rsidRDefault="00560535" w:rsidP="001F2FAF">
          <w:pPr>
            <w:pStyle w:val="Pidipagina"/>
            <w:rPr>
              <w:rFonts w:ascii="HelveticaNeueLT Std" w:hAnsi="HelveticaNeueLT Std" w:cs="Arial"/>
              <w:sz w:val="20"/>
            </w:rPr>
          </w:pPr>
        </w:p>
      </w:tc>
      <w:tc>
        <w:tcPr>
          <w:tcW w:w="5116"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2.5pt;height:22.5pt" o:bullet="t">
        <v:imagedata r:id="rId1" o:title="twiiter"/>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20F22A1A"/>
    <w:multiLevelType w:val="hybridMultilevel"/>
    <w:tmpl w:val="B9D46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00192"/>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598F"/>
    <w:rsid w:val="00067016"/>
    <w:rsid w:val="0007236C"/>
    <w:rsid w:val="00090893"/>
    <w:rsid w:val="000A41CC"/>
    <w:rsid w:val="000B4E12"/>
    <w:rsid w:val="000B5572"/>
    <w:rsid w:val="000B644A"/>
    <w:rsid w:val="000D3796"/>
    <w:rsid w:val="000D599F"/>
    <w:rsid w:val="000D72F5"/>
    <w:rsid w:val="000E54AD"/>
    <w:rsid w:val="000F0404"/>
    <w:rsid w:val="000F3CFA"/>
    <w:rsid w:val="000F5005"/>
    <w:rsid w:val="000F61CF"/>
    <w:rsid w:val="000F7520"/>
    <w:rsid w:val="0010193F"/>
    <w:rsid w:val="00105B32"/>
    <w:rsid w:val="001109DD"/>
    <w:rsid w:val="00120ECB"/>
    <w:rsid w:val="00120F92"/>
    <w:rsid w:val="0012147C"/>
    <w:rsid w:val="001236D9"/>
    <w:rsid w:val="00124E49"/>
    <w:rsid w:val="00127559"/>
    <w:rsid w:val="00135E70"/>
    <w:rsid w:val="00143DA7"/>
    <w:rsid w:val="001511C8"/>
    <w:rsid w:val="001519F9"/>
    <w:rsid w:val="0015236A"/>
    <w:rsid w:val="001543DA"/>
    <w:rsid w:val="0016511F"/>
    <w:rsid w:val="0016553A"/>
    <w:rsid w:val="001675D5"/>
    <w:rsid w:val="0017473A"/>
    <w:rsid w:val="00180B14"/>
    <w:rsid w:val="00181CA7"/>
    <w:rsid w:val="00191CB1"/>
    <w:rsid w:val="001A0144"/>
    <w:rsid w:val="001A279D"/>
    <w:rsid w:val="001A57E2"/>
    <w:rsid w:val="001B28DA"/>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408CF"/>
    <w:rsid w:val="00247BBD"/>
    <w:rsid w:val="00250EE4"/>
    <w:rsid w:val="0025306B"/>
    <w:rsid w:val="00263165"/>
    <w:rsid w:val="00266DC4"/>
    <w:rsid w:val="00270B80"/>
    <w:rsid w:val="00270D84"/>
    <w:rsid w:val="00276626"/>
    <w:rsid w:val="002809E9"/>
    <w:rsid w:val="00296238"/>
    <w:rsid w:val="002B0DBA"/>
    <w:rsid w:val="002B5462"/>
    <w:rsid w:val="002C2872"/>
    <w:rsid w:val="002D1185"/>
    <w:rsid w:val="002D1FB3"/>
    <w:rsid w:val="002D715D"/>
    <w:rsid w:val="002D7248"/>
    <w:rsid w:val="002F1094"/>
    <w:rsid w:val="002F7CA0"/>
    <w:rsid w:val="003048E2"/>
    <w:rsid w:val="00320C87"/>
    <w:rsid w:val="00323066"/>
    <w:rsid w:val="00325282"/>
    <w:rsid w:val="00341D2C"/>
    <w:rsid w:val="00341E64"/>
    <w:rsid w:val="0035084B"/>
    <w:rsid w:val="00352734"/>
    <w:rsid w:val="00356E9D"/>
    <w:rsid w:val="0035757A"/>
    <w:rsid w:val="00357E7B"/>
    <w:rsid w:val="00362262"/>
    <w:rsid w:val="00366495"/>
    <w:rsid w:val="00370935"/>
    <w:rsid w:val="0037141C"/>
    <w:rsid w:val="003720FD"/>
    <w:rsid w:val="00375BB8"/>
    <w:rsid w:val="003765C0"/>
    <w:rsid w:val="00393165"/>
    <w:rsid w:val="003A2032"/>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15271"/>
    <w:rsid w:val="00421D2E"/>
    <w:rsid w:val="004234AB"/>
    <w:rsid w:val="0042505B"/>
    <w:rsid w:val="00427329"/>
    <w:rsid w:val="0043509C"/>
    <w:rsid w:val="0043620C"/>
    <w:rsid w:val="00437789"/>
    <w:rsid w:val="00445714"/>
    <w:rsid w:val="0045205E"/>
    <w:rsid w:val="00466683"/>
    <w:rsid w:val="0047789A"/>
    <w:rsid w:val="00480166"/>
    <w:rsid w:val="0048732A"/>
    <w:rsid w:val="00487BDA"/>
    <w:rsid w:val="00487E46"/>
    <w:rsid w:val="00491F87"/>
    <w:rsid w:val="00492D40"/>
    <w:rsid w:val="00493C28"/>
    <w:rsid w:val="004A3574"/>
    <w:rsid w:val="004B00D1"/>
    <w:rsid w:val="004B1063"/>
    <w:rsid w:val="004B57BD"/>
    <w:rsid w:val="004C2C4C"/>
    <w:rsid w:val="004C50A0"/>
    <w:rsid w:val="004D688B"/>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361BC"/>
    <w:rsid w:val="005407AC"/>
    <w:rsid w:val="00547E3C"/>
    <w:rsid w:val="00551D95"/>
    <w:rsid w:val="00552D62"/>
    <w:rsid w:val="0055500B"/>
    <w:rsid w:val="00560535"/>
    <w:rsid w:val="005628FD"/>
    <w:rsid w:val="00563260"/>
    <w:rsid w:val="005643F5"/>
    <w:rsid w:val="00566C98"/>
    <w:rsid w:val="005735B4"/>
    <w:rsid w:val="005800F3"/>
    <w:rsid w:val="00580784"/>
    <w:rsid w:val="005823A1"/>
    <w:rsid w:val="005A4C57"/>
    <w:rsid w:val="005B0CFF"/>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6BAB"/>
    <w:rsid w:val="007023BC"/>
    <w:rsid w:val="00704DF9"/>
    <w:rsid w:val="0071076C"/>
    <w:rsid w:val="007134CD"/>
    <w:rsid w:val="007135C3"/>
    <w:rsid w:val="00715C3B"/>
    <w:rsid w:val="00731C24"/>
    <w:rsid w:val="00732579"/>
    <w:rsid w:val="00734F84"/>
    <w:rsid w:val="00740896"/>
    <w:rsid w:val="00742C32"/>
    <w:rsid w:val="00745D90"/>
    <w:rsid w:val="00747238"/>
    <w:rsid w:val="0075157E"/>
    <w:rsid w:val="00753EA0"/>
    <w:rsid w:val="00756614"/>
    <w:rsid w:val="00762AB1"/>
    <w:rsid w:val="00773507"/>
    <w:rsid w:val="00773CD5"/>
    <w:rsid w:val="00775AE9"/>
    <w:rsid w:val="00777675"/>
    <w:rsid w:val="007808F7"/>
    <w:rsid w:val="007876D3"/>
    <w:rsid w:val="007906D3"/>
    <w:rsid w:val="00790828"/>
    <w:rsid w:val="007A3983"/>
    <w:rsid w:val="007A5BA8"/>
    <w:rsid w:val="007C5B3A"/>
    <w:rsid w:val="007D2210"/>
    <w:rsid w:val="007D32CB"/>
    <w:rsid w:val="007D5E7F"/>
    <w:rsid w:val="007D74F6"/>
    <w:rsid w:val="007E07F8"/>
    <w:rsid w:val="007E4CE3"/>
    <w:rsid w:val="007F20D9"/>
    <w:rsid w:val="007F30B2"/>
    <w:rsid w:val="00805496"/>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49C8"/>
    <w:rsid w:val="0094475B"/>
    <w:rsid w:val="00945041"/>
    <w:rsid w:val="0094516A"/>
    <w:rsid w:val="00956532"/>
    <w:rsid w:val="00956875"/>
    <w:rsid w:val="00967803"/>
    <w:rsid w:val="00980A04"/>
    <w:rsid w:val="009816F1"/>
    <w:rsid w:val="009950C2"/>
    <w:rsid w:val="0099770B"/>
    <w:rsid w:val="009A1AA4"/>
    <w:rsid w:val="009A6B1B"/>
    <w:rsid w:val="009B173A"/>
    <w:rsid w:val="009B574D"/>
    <w:rsid w:val="009B6B12"/>
    <w:rsid w:val="009C44FD"/>
    <w:rsid w:val="009C469A"/>
    <w:rsid w:val="009C52BD"/>
    <w:rsid w:val="009D4B5D"/>
    <w:rsid w:val="009E25CE"/>
    <w:rsid w:val="009E687B"/>
    <w:rsid w:val="009F0894"/>
    <w:rsid w:val="009F320D"/>
    <w:rsid w:val="009F4FEE"/>
    <w:rsid w:val="00A123F6"/>
    <w:rsid w:val="00A20FBF"/>
    <w:rsid w:val="00A30A29"/>
    <w:rsid w:val="00A30FC5"/>
    <w:rsid w:val="00A35699"/>
    <w:rsid w:val="00A40CC8"/>
    <w:rsid w:val="00A44ABF"/>
    <w:rsid w:val="00A45AB3"/>
    <w:rsid w:val="00A4665C"/>
    <w:rsid w:val="00A47687"/>
    <w:rsid w:val="00A50406"/>
    <w:rsid w:val="00A50521"/>
    <w:rsid w:val="00A6358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1DAD"/>
    <w:rsid w:val="00B72C4F"/>
    <w:rsid w:val="00B75D35"/>
    <w:rsid w:val="00B80604"/>
    <w:rsid w:val="00B82860"/>
    <w:rsid w:val="00B82BA4"/>
    <w:rsid w:val="00B8628C"/>
    <w:rsid w:val="00B902F7"/>
    <w:rsid w:val="00B919B9"/>
    <w:rsid w:val="00BA18E1"/>
    <w:rsid w:val="00BA5CC1"/>
    <w:rsid w:val="00BA6F03"/>
    <w:rsid w:val="00BA6FE4"/>
    <w:rsid w:val="00BC32E2"/>
    <w:rsid w:val="00BD0321"/>
    <w:rsid w:val="00BD1F63"/>
    <w:rsid w:val="00BD2878"/>
    <w:rsid w:val="00BD37FD"/>
    <w:rsid w:val="00BD5DC8"/>
    <w:rsid w:val="00BE046A"/>
    <w:rsid w:val="00BE0F7B"/>
    <w:rsid w:val="00BE5F31"/>
    <w:rsid w:val="00BF297B"/>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4380"/>
    <w:rsid w:val="00D2527D"/>
    <w:rsid w:val="00D263CC"/>
    <w:rsid w:val="00D30BEE"/>
    <w:rsid w:val="00D33D95"/>
    <w:rsid w:val="00D340E2"/>
    <w:rsid w:val="00D35737"/>
    <w:rsid w:val="00D40AC0"/>
    <w:rsid w:val="00D4133E"/>
    <w:rsid w:val="00D519CC"/>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79BB"/>
    <w:rsid w:val="00EA71D7"/>
    <w:rsid w:val="00EB321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4110F"/>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1C6C"/>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 w:type="character" w:customStyle="1" w:styleId="IntestazioneCarattere">
    <w:name w:val="Intestazione Carattere"/>
    <w:link w:val="Intestazione"/>
    <w:rsid w:val="00415271"/>
    <w:rPr>
      <w:rFonts w:ascii="Arial" w:hAnsi="Arial"/>
      <w:sz w:val="24"/>
    </w:rPr>
  </w:style>
  <w:style w:type="paragraph" w:customStyle="1" w:styleId="Default">
    <w:name w:val="Default"/>
    <w:rsid w:val="00732579"/>
    <w:pPr>
      <w:autoSpaceDE w:val="0"/>
      <w:autoSpaceDN w:val="0"/>
      <w:adjustRightInd w:val="0"/>
    </w:pPr>
    <w:rPr>
      <w:rFonts w:ascii="Calibri" w:hAnsi="Calibri" w:cs="Calibri"/>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fiet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DBDC0-AACA-4E29-A951-253D4456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3036</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Vinco Katia</cp:lastModifiedBy>
  <cp:revision>2</cp:revision>
  <cp:lastPrinted>2016-02-23T09:13:00Z</cp:lastPrinted>
  <dcterms:created xsi:type="dcterms:W3CDTF">2017-03-21T15:32:00Z</dcterms:created>
  <dcterms:modified xsi:type="dcterms:W3CDTF">2017-03-21T15:32:00Z</dcterms:modified>
</cp:coreProperties>
</file>