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130" w:rsidRPr="00A67130" w:rsidRDefault="00A67130" w:rsidP="00A671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86"/>
        </w:tabs>
        <w:suppressAutoHyphens w:val="0"/>
        <w:rPr>
          <w:rFonts w:ascii="Arial" w:hAnsi="Arial" w:cs="Arial"/>
          <w:b/>
          <w:sz w:val="28"/>
          <w:szCs w:val="28"/>
        </w:rPr>
      </w:pPr>
      <w:r w:rsidRPr="00A67130">
        <w:rPr>
          <w:rFonts w:ascii="Arial" w:hAnsi="Arial" w:cs="Arial"/>
          <w:b/>
          <w:sz w:val="28"/>
          <w:szCs w:val="28"/>
        </w:rPr>
        <w:t xml:space="preserve">LYŽOVÁNÍ BEZ OMEZENÍ - TO JE SKIRAMA A DOLOMITI SUPERSKI </w:t>
      </w:r>
    </w:p>
    <w:p w:rsidR="00A67130" w:rsidRPr="00A67130" w:rsidRDefault="00A67130" w:rsidP="00EC50C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86"/>
        </w:tabs>
        <w:suppressAutoHyphens w:val="0"/>
        <w:spacing w:line="276" w:lineRule="auto"/>
        <w:jc w:val="both"/>
        <w:rPr>
          <w:rFonts w:ascii="Arial Bold" w:hAnsi="Arial Bold"/>
          <w:sz w:val="24"/>
        </w:rPr>
      </w:pPr>
    </w:p>
    <w:p w:rsidR="00A67130" w:rsidRPr="00A67130" w:rsidRDefault="00A67130" w:rsidP="00EC50C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86"/>
        </w:tabs>
        <w:suppressAutoHyphens w:val="0"/>
        <w:spacing w:line="276" w:lineRule="auto"/>
        <w:jc w:val="both"/>
        <w:rPr>
          <w:rFonts w:ascii="Arial" w:hAnsi="Arial" w:cs="Arial"/>
          <w:b/>
          <w:sz w:val="24"/>
        </w:rPr>
      </w:pPr>
      <w:proofErr w:type="spellStart"/>
      <w:r w:rsidRPr="00A67130">
        <w:rPr>
          <w:rFonts w:ascii="Arial" w:hAnsi="Arial" w:cs="Arial"/>
          <w:b/>
          <w:sz w:val="24"/>
        </w:rPr>
        <w:t>Lyžařská</w:t>
      </w:r>
      <w:proofErr w:type="spellEnd"/>
      <w:r w:rsidRPr="00A67130">
        <w:rPr>
          <w:rFonts w:ascii="Arial" w:hAnsi="Arial" w:cs="Arial"/>
          <w:b/>
          <w:sz w:val="24"/>
        </w:rPr>
        <w:t xml:space="preserve"> </w:t>
      </w:r>
      <w:proofErr w:type="spellStart"/>
      <w:r w:rsidRPr="00A67130">
        <w:rPr>
          <w:rFonts w:ascii="Arial" w:hAnsi="Arial" w:cs="Arial"/>
          <w:b/>
          <w:sz w:val="24"/>
        </w:rPr>
        <w:t>konsorcia</w:t>
      </w:r>
      <w:proofErr w:type="spellEnd"/>
      <w:r w:rsidRPr="00A67130">
        <w:rPr>
          <w:rFonts w:ascii="Arial" w:hAnsi="Arial" w:cs="Arial"/>
          <w:b/>
          <w:sz w:val="24"/>
        </w:rPr>
        <w:t xml:space="preserve"> SKIRAMA DOLOMITI BRENTA a DOLOMITI SUPERSKI </w:t>
      </w:r>
      <w:proofErr w:type="spellStart"/>
      <w:r w:rsidRPr="00A67130">
        <w:rPr>
          <w:rFonts w:ascii="Arial" w:hAnsi="Arial" w:cs="Arial"/>
          <w:b/>
          <w:sz w:val="24"/>
        </w:rPr>
        <w:t>umožňují</w:t>
      </w:r>
      <w:proofErr w:type="spellEnd"/>
      <w:r w:rsidRPr="00A67130">
        <w:rPr>
          <w:rFonts w:ascii="Arial" w:hAnsi="Arial" w:cs="Arial"/>
          <w:b/>
          <w:sz w:val="24"/>
        </w:rPr>
        <w:t xml:space="preserve"> </w:t>
      </w:r>
      <w:proofErr w:type="spellStart"/>
      <w:r w:rsidRPr="00A67130">
        <w:rPr>
          <w:rFonts w:ascii="Arial" w:hAnsi="Arial" w:cs="Arial"/>
          <w:b/>
          <w:sz w:val="24"/>
        </w:rPr>
        <w:t>lyžování</w:t>
      </w:r>
      <w:proofErr w:type="spellEnd"/>
      <w:r w:rsidRPr="00A67130">
        <w:rPr>
          <w:rFonts w:ascii="Arial" w:hAnsi="Arial" w:cs="Arial"/>
          <w:b/>
          <w:sz w:val="24"/>
        </w:rPr>
        <w:t xml:space="preserve"> </w:t>
      </w:r>
      <w:proofErr w:type="spellStart"/>
      <w:r w:rsidRPr="00A67130">
        <w:rPr>
          <w:rFonts w:ascii="Arial" w:hAnsi="Arial" w:cs="Arial"/>
          <w:b/>
          <w:sz w:val="24"/>
        </w:rPr>
        <w:t>na</w:t>
      </w:r>
      <w:proofErr w:type="spellEnd"/>
      <w:r w:rsidRPr="00A67130">
        <w:rPr>
          <w:rFonts w:ascii="Arial" w:hAnsi="Arial" w:cs="Arial"/>
          <w:b/>
          <w:sz w:val="24"/>
        </w:rPr>
        <w:t xml:space="preserve"> 1500 km </w:t>
      </w:r>
      <w:proofErr w:type="spellStart"/>
      <w:r w:rsidRPr="00A67130">
        <w:rPr>
          <w:rFonts w:ascii="Arial" w:hAnsi="Arial" w:cs="Arial"/>
          <w:b/>
          <w:sz w:val="24"/>
        </w:rPr>
        <w:t>sjezdovek</w:t>
      </w:r>
      <w:proofErr w:type="spellEnd"/>
      <w:r w:rsidRPr="00A67130">
        <w:rPr>
          <w:rFonts w:ascii="Arial" w:hAnsi="Arial" w:cs="Arial"/>
          <w:b/>
          <w:sz w:val="24"/>
        </w:rPr>
        <w:t xml:space="preserve"> v </w:t>
      </w:r>
      <w:proofErr w:type="spellStart"/>
      <w:r w:rsidRPr="00A67130">
        <w:rPr>
          <w:rFonts w:ascii="Arial" w:hAnsi="Arial" w:cs="Arial"/>
          <w:b/>
          <w:sz w:val="24"/>
        </w:rPr>
        <w:t>překrásných</w:t>
      </w:r>
      <w:proofErr w:type="spellEnd"/>
      <w:r w:rsidRPr="00A67130">
        <w:rPr>
          <w:rFonts w:ascii="Arial" w:hAnsi="Arial" w:cs="Arial"/>
          <w:b/>
          <w:sz w:val="24"/>
        </w:rPr>
        <w:t xml:space="preserve"> </w:t>
      </w:r>
      <w:proofErr w:type="spellStart"/>
      <w:r w:rsidRPr="00A67130">
        <w:rPr>
          <w:rFonts w:ascii="Arial" w:hAnsi="Arial" w:cs="Arial"/>
          <w:b/>
          <w:sz w:val="24"/>
        </w:rPr>
        <w:t>scenériích</w:t>
      </w:r>
      <w:proofErr w:type="spellEnd"/>
      <w:r w:rsidRPr="00A67130">
        <w:rPr>
          <w:rFonts w:ascii="Arial" w:hAnsi="Arial" w:cs="Arial"/>
          <w:b/>
          <w:sz w:val="24"/>
        </w:rPr>
        <w:t xml:space="preserve"> </w:t>
      </w:r>
      <w:proofErr w:type="spellStart"/>
      <w:r w:rsidRPr="00A67130">
        <w:rPr>
          <w:rFonts w:ascii="Arial" w:hAnsi="Arial" w:cs="Arial"/>
          <w:b/>
          <w:sz w:val="24"/>
        </w:rPr>
        <w:t>Dolomit</w:t>
      </w:r>
      <w:proofErr w:type="spellEnd"/>
      <w:r w:rsidRPr="00A67130">
        <w:rPr>
          <w:rFonts w:ascii="Arial" w:hAnsi="Arial" w:cs="Arial"/>
          <w:b/>
          <w:sz w:val="24"/>
        </w:rPr>
        <w:t xml:space="preserve">. </w:t>
      </w:r>
      <w:proofErr w:type="spellStart"/>
      <w:r w:rsidRPr="00A67130">
        <w:rPr>
          <w:rFonts w:ascii="Arial" w:hAnsi="Arial" w:cs="Arial"/>
          <w:b/>
          <w:sz w:val="24"/>
        </w:rPr>
        <w:t>Obě</w:t>
      </w:r>
      <w:proofErr w:type="spellEnd"/>
      <w:r w:rsidRPr="00A67130">
        <w:rPr>
          <w:rFonts w:ascii="Arial" w:hAnsi="Arial" w:cs="Arial"/>
          <w:b/>
          <w:sz w:val="24"/>
        </w:rPr>
        <w:t xml:space="preserve"> </w:t>
      </w:r>
      <w:proofErr w:type="spellStart"/>
      <w:r w:rsidRPr="00A67130">
        <w:rPr>
          <w:rFonts w:ascii="Arial" w:hAnsi="Arial" w:cs="Arial"/>
          <w:b/>
          <w:sz w:val="24"/>
        </w:rPr>
        <w:t>mají</w:t>
      </w:r>
      <w:proofErr w:type="spellEnd"/>
      <w:r w:rsidRPr="00A67130">
        <w:rPr>
          <w:rFonts w:ascii="Arial" w:hAnsi="Arial" w:cs="Arial"/>
          <w:b/>
          <w:sz w:val="24"/>
        </w:rPr>
        <w:t xml:space="preserve"> ve </w:t>
      </w:r>
      <w:proofErr w:type="spellStart"/>
      <w:r w:rsidRPr="00A67130">
        <w:rPr>
          <w:rFonts w:ascii="Arial" w:hAnsi="Arial" w:cs="Arial"/>
          <w:b/>
          <w:sz w:val="24"/>
        </w:rPr>
        <w:t>své</w:t>
      </w:r>
      <w:proofErr w:type="spellEnd"/>
      <w:r w:rsidRPr="00A67130">
        <w:rPr>
          <w:rFonts w:ascii="Arial" w:hAnsi="Arial" w:cs="Arial"/>
          <w:b/>
          <w:sz w:val="24"/>
        </w:rPr>
        <w:t xml:space="preserve"> </w:t>
      </w:r>
      <w:proofErr w:type="spellStart"/>
      <w:r w:rsidRPr="00A67130">
        <w:rPr>
          <w:rFonts w:ascii="Arial" w:hAnsi="Arial" w:cs="Arial"/>
          <w:b/>
          <w:sz w:val="24"/>
        </w:rPr>
        <w:t>nabídce</w:t>
      </w:r>
      <w:proofErr w:type="spellEnd"/>
      <w:r w:rsidRPr="00A67130">
        <w:rPr>
          <w:rFonts w:ascii="Arial" w:hAnsi="Arial" w:cs="Arial"/>
          <w:b/>
          <w:sz w:val="24"/>
        </w:rPr>
        <w:t xml:space="preserve"> </w:t>
      </w:r>
      <w:proofErr w:type="spellStart"/>
      <w:r w:rsidRPr="00A67130">
        <w:rPr>
          <w:rFonts w:ascii="Arial" w:hAnsi="Arial" w:cs="Arial"/>
          <w:b/>
          <w:sz w:val="24"/>
        </w:rPr>
        <w:t>sjezdovky</w:t>
      </w:r>
      <w:proofErr w:type="spellEnd"/>
      <w:r w:rsidRPr="00A67130">
        <w:rPr>
          <w:rFonts w:ascii="Arial" w:hAnsi="Arial" w:cs="Arial"/>
          <w:b/>
          <w:sz w:val="24"/>
        </w:rPr>
        <w:t xml:space="preserve">, </w:t>
      </w:r>
      <w:proofErr w:type="spellStart"/>
      <w:r w:rsidRPr="00A67130">
        <w:rPr>
          <w:rFonts w:ascii="Arial" w:hAnsi="Arial" w:cs="Arial"/>
          <w:b/>
          <w:sz w:val="24"/>
        </w:rPr>
        <w:t>které</w:t>
      </w:r>
      <w:proofErr w:type="spellEnd"/>
      <w:r w:rsidRPr="00A67130">
        <w:rPr>
          <w:rFonts w:ascii="Arial" w:hAnsi="Arial" w:cs="Arial"/>
          <w:b/>
          <w:sz w:val="24"/>
        </w:rPr>
        <w:t xml:space="preserve"> </w:t>
      </w:r>
      <w:proofErr w:type="spellStart"/>
      <w:r w:rsidRPr="00A67130">
        <w:rPr>
          <w:rFonts w:ascii="Arial" w:hAnsi="Arial" w:cs="Arial"/>
          <w:b/>
          <w:sz w:val="24"/>
        </w:rPr>
        <w:t>už</w:t>
      </w:r>
      <w:proofErr w:type="spellEnd"/>
      <w:r w:rsidRPr="00A67130">
        <w:rPr>
          <w:rFonts w:ascii="Arial" w:hAnsi="Arial" w:cs="Arial"/>
          <w:b/>
          <w:sz w:val="24"/>
        </w:rPr>
        <w:t xml:space="preserve"> </w:t>
      </w:r>
      <w:proofErr w:type="spellStart"/>
      <w:r w:rsidRPr="00A67130">
        <w:rPr>
          <w:rFonts w:ascii="Arial" w:hAnsi="Arial" w:cs="Arial"/>
          <w:b/>
          <w:sz w:val="24"/>
        </w:rPr>
        <w:t>dnes</w:t>
      </w:r>
      <w:proofErr w:type="spellEnd"/>
      <w:r w:rsidRPr="00A67130">
        <w:rPr>
          <w:rFonts w:ascii="Arial" w:hAnsi="Arial" w:cs="Arial"/>
          <w:b/>
          <w:sz w:val="24"/>
        </w:rPr>
        <w:t xml:space="preserve"> </w:t>
      </w:r>
      <w:proofErr w:type="spellStart"/>
      <w:r w:rsidRPr="00A67130">
        <w:rPr>
          <w:rFonts w:ascii="Arial" w:hAnsi="Arial" w:cs="Arial"/>
          <w:b/>
          <w:sz w:val="24"/>
        </w:rPr>
        <w:t>patří</w:t>
      </w:r>
      <w:proofErr w:type="spellEnd"/>
      <w:r w:rsidRPr="00A67130">
        <w:rPr>
          <w:rFonts w:ascii="Arial" w:hAnsi="Arial" w:cs="Arial"/>
          <w:b/>
          <w:sz w:val="24"/>
        </w:rPr>
        <w:t xml:space="preserve"> </w:t>
      </w:r>
      <w:proofErr w:type="spellStart"/>
      <w:r w:rsidRPr="00A67130">
        <w:rPr>
          <w:rFonts w:ascii="Arial" w:hAnsi="Arial" w:cs="Arial"/>
          <w:b/>
          <w:sz w:val="24"/>
        </w:rPr>
        <w:t>mezi</w:t>
      </w:r>
      <w:proofErr w:type="spellEnd"/>
      <w:r w:rsidRPr="00A67130">
        <w:rPr>
          <w:rFonts w:ascii="Arial" w:hAnsi="Arial" w:cs="Arial"/>
          <w:b/>
          <w:sz w:val="24"/>
        </w:rPr>
        <w:t xml:space="preserve"> </w:t>
      </w:r>
      <w:proofErr w:type="spellStart"/>
      <w:r w:rsidRPr="00A67130">
        <w:rPr>
          <w:rFonts w:ascii="Arial" w:hAnsi="Arial" w:cs="Arial"/>
          <w:b/>
          <w:sz w:val="24"/>
        </w:rPr>
        <w:t>kultovní</w:t>
      </w:r>
      <w:proofErr w:type="spellEnd"/>
      <w:r w:rsidRPr="00A67130">
        <w:rPr>
          <w:rFonts w:ascii="Arial" w:hAnsi="Arial" w:cs="Arial"/>
          <w:b/>
          <w:sz w:val="24"/>
        </w:rPr>
        <w:t xml:space="preserve">. </w:t>
      </w:r>
    </w:p>
    <w:p w:rsidR="00A67130" w:rsidRDefault="00A67130" w:rsidP="00EC50C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86"/>
        </w:tabs>
        <w:suppressAutoHyphens w:val="0"/>
        <w:jc w:val="both"/>
        <w:rPr>
          <w:rFonts w:ascii="Arial Bold" w:hAnsi="Arial Bold"/>
          <w:sz w:val="24"/>
        </w:rPr>
      </w:pPr>
    </w:p>
    <w:p w:rsidR="00425F81" w:rsidRPr="00A67130" w:rsidRDefault="00425F81" w:rsidP="00EC50C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86"/>
        </w:tabs>
        <w:suppressAutoHyphens w:val="0"/>
        <w:jc w:val="both"/>
        <w:rPr>
          <w:rFonts w:ascii="Arial Bold" w:hAnsi="Arial Bold"/>
          <w:sz w:val="24"/>
        </w:rPr>
      </w:pPr>
    </w:p>
    <w:p w:rsidR="00A67130" w:rsidRPr="00A67130" w:rsidRDefault="00A67130" w:rsidP="00EC50C5">
      <w:pPr>
        <w:suppressAutoHyphens w:val="0"/>
        <w:jc w:val="both"/>
        <w:rPr>
          <w:rFonts w:ascii="Arial" w:hAnsi="Arial" w:cs="Arial"/>
          <w:b/>
          <w:sz w:val="24"/>
          <w:lang w:val="cs-CZ"/>
        </w:rPr>
      </w:pPr>
      <w:r w:rsidRPr="00A67130">
        <w:rPr>
          <w:rFonts w:ascii="Arial" w:hAnsi="Arial" w:cs="Arial"/>
          <w:b/>
          <w:sz w:val="24"/>
          <w:lang w:val="cs-CZ"/>
        </w:rPr>
        <w:t>DOLOMITY SUPERSKI</w:t>
      </w:r>
    </w:p>
    <w:p w:rsidR="00A67130" w:rsidRPr="00A67130" w:rsidRDefault="00A67130" w:rsidP="00EC50C5">
      <w:pPr>
        <w:suppressAutoHyphens w:val="0"/>
        <w:jc w:val="both"/>
        <w:rPr>
          <w:rFonts w:ascii="Arial" w:hAnsi="Arial" w:cs="Arial"/>
          <w:sz w:val="24"/>
          <w:lang w:val="cs-CZ"/>
        </w:rPr>
      </w:pPr>
      <w:r w:rsidRPr="00A67130">
        <w:rPr>
          <w:rFonts w:ascii="Arial" w:hAnsi="Arial" w:cs="Arial"/>
          <w:sz w:val="24"/>
          <w:lang w:val="cs-CZ"/>
        </w:rPr>
        <w:t xml:space="preserve">S Dolomiti Superski skipasem je možné vyzkoušet  každý den zcela nové sjezdovky, které se proplétají mezi impozantními vrcholy a skalními stěnami, ať už jde o horskou skupinu Latemar nebo majestátní královnu Dolomit Marmoladu. Součastí tohoto obrovského karuselu je totiž celkem 1200 km sjezdovek všech úrovní, z toho 350 km v Trentinu. Skutečnou lahůdkou je oblíbený “kolotoč” Sellaronda. Dolomiti Superski spojuje hned 12 lyžařských oblastí provincií Alto Adige (Jižní Tyrolsko), Trentino a Benátsko a jako takový je nejen italskou jedničkou, ale nemá konkurenci ani v evropském měřítku. Rozprostírá se v jihovýchodních Alpách a v Trentinu prochází údolími Val di Fassa, Val di Fiemme a San Martino di Castrozza. </w:t>
      </w:r>
    </w:p>
    <w:p w:rsidR="00A67130" w:rsidRPr="00A67130" w:rsidRDefault="00A67130" w:rsidP="00EC50C5">
      <w:pPr>
        <w:suppressAutoHyphens w:val="0"/>
        <w:jc w:val="both"/>
        <w:rPr>
          <w:rFonts w:ascii="Arial" w:hAnsi="Arial" w:cs="Arial"/>
          <w:sz w:val="24"/>
          <w:lang w:val="cs-CZ"/>
        </w:rPr>
      </w:pPr>
      <w:r w:rsidRPr="00A67130">
        <w:rPr>
          <w:rFonts w:ascii="Arial" w:hAnsi="Arial" w:cs="Arial"/>
          <w:sz w:val="24"/>
          <w:lang w:val="cs-CZ"/>
        </w:rPr>
        <w:t>Jediný skipas umožňuje lyžování ve všech 12 lyžařských oblastech, na neuvěřitelných 1200 km sjezdovek. Je však možné zakoupit pouze lokální skipas pro některou z vybraných oblastí, který je platný pro sjezdovky daného údolí, popřípadě zvolit skipas kombinovaný. Každý si může zvolit, co nejlépe vyhovuje jeho potřebám.</w:t>
      </w:r>
    </w:p>
    <w:p w:rsidR="00A67130" w:rsidRPr="00A67130" w:rsidRDefault="00A67130" w:rsidP="00EC50C5">
      <w:pPr>
        <w:suppressAutoHyphens w:val="0"/>
        <w:jc w:val="both"/>
        <w:rPr>
          <w:rFonts w:ascii="Arial" w:hAnsi="Arial" w:cs="Arial"/>
          <w:sz w:val="24"/>
          <w:lang w:val="cs-CZ"/>
        </w:rPr>
      </w:pPr>
      <w:r w:rsidRPr="00A67130">
        <w:rPr>
          <w:rFonts w:ascii="Arial" w:hAnsi="Arial" w:cs="Arial"/>
          <w:sz w:val="24"/>
          <w:lang w:val="cs-CZ"/>
        </w:rPr>
        <w:t xml:space="preserve">Příjemnou službou je "Hotel Skipass Service", která umožňuje objednat si skipas předem přes hotel (platí pouze pro nasmlouvané hotely). Skipas je pak možné vyzvednout přímo v recepci hotelu a ušetřit tak čas. Týká se pouze skipasů pro dospělé (nevztahuje se tedy na cenově zvýhodněné juniorské a seniorské skipasy, ani na skipasy zdarma pro děti do 8 let). Skipas je možné zakoupit po internetu (platba kreditní kartou) na </w:t>
      </w:r>
      <w:hyperlink r:id="rId7" w:history="1">
        <w:r w:rsidRPr="00A67130">
          <w:rPr>
            <w:rFonts w:ascii="Arial" w:hAnsi="Arial" w:cs="Arial"/>
            <w:color w:val="000020"/>
            <w:sz w:val="24"/>
            <w:u w:val="single"/>
            <w:lang w:val="cs-CZ"/>
          </w:rPr>
          <w:t>www.dolomitisuperski.com/hss</w:t>
        </w:r>
      </w:hyperlink>
      <w:r w:rsidRPr="00A67130">
        <w:rPr>
          <w:rFonts w:ascii="Arial" w:hAnsi="Arial" w:cs="Arial"/>
          <w:color w:val="0000F2"/>
          <w:sz w:val="24"/>
          <w:lang w:val="cs-CZ"/>
        </w:rPr>
        <w:t xml:space="preserve"> </w:t>
      </w:r>
      <w:r w:rsidRPr="00A67130">
        <w:rPr>
          <w:rFonts w:ascii="Arial" w:hAnsi="Arial" w:cs="Arial"/>
          <w:sz w:val="24"/>
          <w:lang w:val="cs-CZ"/>
        </w:rPr>
        <w:t xml:space="preserve"> alespoň 48 hod. před příjezdem do hotelu. Klientovi i rezervovanému ubytovacímu zařízení bude zaslán vygenerovaný kód, se kterým hoteliér vyzvedne skipas ve skipasové kanceláři a odevzdá ho zákazníkovi při příjezdu. </w:t>
      </w:r>
    </w:p>
    <w:p w:rsidR="00A67130" w:rsidRPr="00A67130" w:rsidRDefault="00A67130" w:rsidP="00EC50C5">
      <w:pPr>
        <w:suppressAutoHyphens w:val="0"/>
        <w:jc w:val="both"/>
        <w:rPr>
          <w:rFonts w:ascii="Arial" w:hAnsi="Arial" w:cs="Arial"/>
          <w:sz w:val="24"/>
          <w:lang w:val="cs-CZ"/>
        </w:rPr>
      </w:pPr>
    </w:p>
    <w:p w:rsidR="00A67130" w:rsidRPr="00A67130" w:rsidRDefault="00A67130" w:rsidP="00EC50C5">
      <w:pPr>
        <w:suppressAutoHyphens w:val="0"/>
        <w:jc w:val="both"/>
        <w:rPr>
          <w:rFonts w:ascii="Arial" w:hAnsi="Arial" w:cs="Arial"/>
          <w:b/>
          <w:sz w:val="24"/>
          <w:lang w:val="cs-CZ"/>
        </w:rPr>
      </w:pPr>
      <w:r w:rsidRPr="00A67130">
        <w:rPr>
          <w:rFonts w:ascii="Arial" w:hAnsi="Arial" w:cs="Arial"/>
          <w:b/>
          <w:sz w:val="24"/>
          <w:lang w:val="cs-CZ"/>
        </w:rPr>
        <w:t xml:space="preserve">Trentinské kultovní sjezdovky DOLOMITI SUPERSKI: </w:t>
      </w:r>
    </w:p>
    <w:p w:rsidR="00A67130" w:rsidRPr="00A67130" w:rsidRDefault="00A67130" w:rsidP="00EC50C5">
      <w:pPr>
        <w:suppressAutoHyphens w:val="0"/>
        <w:jc w:val="both"/>
        <w:rPr>
          <w:rFonts w:ascii="Arial" w:hAnsi="Arial" w:cs="Arial"/>
          <w:sz w:val="24"/>
          <w:lang w:val="cs-CZ"/>
        </w:rPr>
      </w:pPr>
      <w:r w:rsidRPr="00A67130">
        <w:rPr>
          <w:rFonts w:ascii="Arial" w:hAnsi="Arial" w:cs="Arial"/>
          <w:sz w:val="24"/>
          <w:lang w:val="cs-CZ"/>
        </w:rPr>
        <w:t xml:space="preserve">Sjezdovka Tomba v údolí Val di Fassa, která nese jméno po slavném lyžaři, vyžaduje maximální soustředění již od prvních serpentin kvůli náhlým změnám sklonu a extrémnímu výškovému rozdílu. Velmi technická sjezdovka Ciampac je zase charakteristická několika prudkými stěnami, na kterých poměřují své síly nejlepší lyžaři světa. Nejkrásnější černou sjezdovkou údolí Val di Fiemme je Olimpia v oblasti Alpe del Cermis, která vede nádhernou lesní scenérií. Sjezdovka Agnello v Pampeagu má mnoho variant a na déce 2,5 km se může pochlubit převýšením 400m. V San Martino di Castrozza je nejslavnější sjezdovkou Pista Tognola, která je homologovaná pro obří slalom i Super G. Chloubou náhorní plošiny Folgaria je velmi technická sjezdovka Salizzona s náhlými změnami sklonu. Hora Monte Bondone v blízkosti města Trento je zase právem pyšná na  sjezdovku Gran Pista, která se může pochlubit délkou téměř 4 km a převýšením 919 m. </w:t>
      </w:r>
    </w:p>
    <w:p w:rsidR="00A67130" w:rsidRPr="00A67130" w:rsidRDefault="00A67130" w:rsidP="00EC50C5">
      <w:pPr>
        <w:suppressAutoHyphens w:val="0"/>
        <w:jc w:val="both"/>
        <w:rPr>
          <w:rFonts w:ascii="Arial" w:hAnsi="Arial" w:cs="Arial"/>
          <w:sz w:val="24"/>
          <w:lang w:val="cs-CZ"/>
        </w:rPr>
      </w:pPr>
    </w:p>
    <w:p w:rsidR="00A67130" w:rsidRPr="00A67130" w:rsidRDefault="00555AE3" w:rsidP="00EC50C5">
      <w:pPr>
        <w:suppressAutoHyphens w:val="0"/>
        <w:jc w:val="both"/>
        <w:rPr>
          <w:rFonts w:ascii="Arial" w:hAnsi="Arial" w:cs="Arial"/>
          <w:sz w:val="24"/>
          <w:lang w:val="cs-CZ"/>
        </w:rPr>
      </w:pPr>
      <w:hyperlink r:id="rId8" w:history="1">
        <w:r w:rsidR="00A67130" w:rsidRPr="00A67130">
          <w:rPr>
            <w:rFonts w:ascii="Arial" w:hAnsi="Arial" w:cs="Arial"/>
            <w:color w:val="00002B"/>
            <w:sz w:val="24"/>
            <w:u w:val="single"/>
            <w:lang w:val="cs-CZ"/>
          </w:rPr>
          <w:t>www.dolomitisuperski.com</w:t>
        </w:r>
      </w:hyperlink>
    </w:p>
    <w:p w:rsidR="00A67130" w:rsidRPr="00A67130" w:rsidRDefault="00A67130" w:rsidP="00EC50C5">
      <w:pPr>
        <w:suppressAutoHyphens w:val="0"/>
        <w:jc w:val="both"/>
        <w:rPr>
          <w:rFonts w:ascii="Arial" w:hAnsi="Arial" w:cs="Arial"/>
          <w:sz w:val="24"/>
          <w:lang w:val="cs-CZ"/>
        </w:rPr>
      </w:pPr>
    </w:p>
    <w:p w:rsidR="00A67130" w:rsidRPr="00A67130" w:rsidRDefault="00A67130" w:rsidP="00EC50C5">
      <w:pPr>
        <w:suppressAutoHyphens w:val="0"/>
        <w:jc w:val="both"/>
        <w:rPr>
          <w:rFonts w:ascii="Arial" w:hAnsi="Arial" w:cs="Arial"/>
          <w:b/>
          <w:sz w:val="24"/>
          <w:lang w:val="cs-CZ"/>
        </w:rPr>
      </w:pPr>
      <w:r w:rsidRPr="00A67130">
        <w:rPr>
          <w:rFonts w:ascii="Arial" w:hAnsi="Arial" w:cs="Arial"/>
          <w:b/>
          <w:sz w:val="24"/>
          <w:lang w:val="cs-CZ"/>
        </w:rPr>
        <w:t>SKIRAMA DOLOMITI ADAMELLO BRENTA</w:t>
      </w:r>
    </w:p>
    <w:p w:rsidR="00A67130" w:rsidRPr="00A67130" w:rsidRDefault="00A67130" w:rsidP="00EC50C5">
      <w:pPr>
        <w:suppressAutoHyphens w:val="0"/>
        <w:jc w:val="both"/>
        <w:rPr>
          <w:rFonts w:ascii="Arial" w:hAnsi="Arial" w:cs="Arial"/>
          <w:sz w:val="24"/>
          <w:lang w:val="cs-CZ"/>
        </w:rPr>
      </w:pPr>
      <w:r w:rsidRPr="00A67130">
        <w:rPr>
          <w:rFonts w:ascii="Arial" w:hAnsi="Arial" w:cs="Arial"/>
          <w:sz w:val="24"/>
          <w:lang w:val="cs-CZ"/>
        </w:rPr>
        <w:t xml:space="preserve">Dalším důležitým lyžařským konsorciem jižních Alp je Skirama Dolomiti adamello brenta. Ve své nabídce má jak lyžařská střediska rodinného charakteru, tak světoznámá střediska té nejvyšší prestiže, jakým je bezesporu Madonna di Campiglio. Sdružuje celkem 8 lyžařských oblastí v samém srdci Brentských Dolomit: Madonna di Campiglio, Pinzolo, Folgarida-Marilleva, Peio, Tonale - Ponte di Legno, Andalo - Fai della Paganella, Monte Bondone a Folgaria - Lavarone. Návštěvníci se mohou rozhodnout pro skipas s místní nebo kombinovanou platností. Pro náročné je připraven plošný skipass SUPERSKIRAMA, umožňující vyzkoušet s využitím moderních lanovek a vleků celkem 380 km sjezdovek. Sjezdovka Pejo 3000 přináší jedinečnou možnost lyžování až do nadmořské výšky 3000 m. S plošným skipasem není nutné jet žádnou sjezdovku dvakrát. Po předchozím propojení Madonny di Campiglio s Marillevou/Folgariou a následným napojením na lyžařské středisko Pinzolo se z této oblasti stal prvotřídní a velmi atraktivní megaareál Dolomiti di Brenta se 150 km sjezdovek. </w:t>
      </w:r>
    </w:p>
    <w:p w:rsidR="00A67130" w:rsidRPr="00A67130" w:rsidRDefault="00A67130" w:rsidP="00EC50C5">
      <w:pPr>
        <w:suppressAutoHyphens w:val="0"/>
        <w:jc w:val="both"/>
        <w:rPr>
          <w:rFonts w:ascii="Arial" w:hAnsi="Arial" w:cs="Arial"/>
          <w:sz w:val="24"/>
          <w:lang w:val="cs-CZ"/>
        </w:rPr>
      </w:pPr>
    </w:p>
    <w:p w:rsidR="00A67130" w:rsidRPr="00A67130" w:rsidRDefault="00A67130" w:rsidP="00EC50C5">
      <w:pPr>
        <w:suppressAutoHyphens w:val="0"/>
        <w:jc w:val="both"/>
        <w:rPr>
          <w:rFonts w:ascii="Arial" w:hAnsi="Arial" w:cs="Arial"/>
          <w:b/>
          <w:sz w:val="24"/>
          <w:lang w:val="cs-CZ"/>
        </w:rPr>
      </w:pPr>
      <w:r w:rsidRPr="00A67130">
        <w:rPr>
          <w:rFonts w:ascii="Arial" w:hAnsi="Arial" w:cs="Arial"/>
          <w:b/>
          <w:sz w:val="24"/>
          <w:lang w:val="cs-CZ"/>
        </w:rPr>
        <w:t>Kultovní sjezdovky SKIRAMA</w:t>
      </w:r>
    </w:p>
    <w:p w:rsidR="00A67130" w:rsidRPr="00A67130" w:rsidRDefault="00A67130" w:rsidP="00EC50C5">
      <w:pPr>
        <w:suppressAutoHyphens w:val="0"/>
        <w:jc w:val="both"/>
        <w:rPr>
          <w:rFonts w:ascii="Arial" w:hAnsi="Arial" w:cs="Arial"/>
          <w:sz w:val="24"/>
          <w:lang w:val="cs-CZ"/>
        </w:rPr>
      </w:pPr>
      <w:r w:rsidRPr="00A67130">
        <w:rPr>
          <w:rFonts w:ascii="Arial" w:hAnsi="Arial" w:cs="Arial"/>
          <w:sz w:val="24"/>
          <w:lang w:val="cs-CZ"/>
        </w:rPr>
        <w:t xml:space="preserve">Ve slavném areálu Madonna di Campiglio si nesmíte nechat ujít legendární sjezdovku Canalone Miramonti, známou také pod názvem 3-Tre, na které se konají světové šampionáty. Má sklon 60% a některé zatáčky  se dají jezdit ve skoku. V Pinzolu zase nelze nevyzkoušet sjezdovku DoloMitica v areálu Doss del Sabion, která má dvě varianty - Star pro pokročilé lyžaře a Tour, na kterou si může troufnout každý.  Lahůdkou oblasti Val di Sole je Nera di Folgarida - náročná sjezdovka, na které se konají prestižní závody v lyžování i v jízdě na snowboardu. Sjezdovka Paradiso v Passo Tonale se může pochlubit tím, že začíná ve výšce 3000 m na ledovci Presena. Na délce 2 km má převýšení 600 m. Sjezdovka Val della Mitte-Peio Fonti disponuje převýšením 1600 m na délce 8 km. Neustálá změna směru a jeden let vzduchem zase charakterizují sjezdovku Olimpionica v oblasti Paganella. </w:t>
      </w:r>
    </w:p>
    <w:p w:rsidR="00A67130" w:rsidRPr="00A67130" w:rsidRDefault="00555AE3" w:rsidP="00EC50C5">
      <w:pPr>
        <w:suppressAutoHyphens w:val="0"/>
        <w:jc w:val="both"/>
        <w:rPr>
          <w:rFonts w:ascii="Arial" w:hAnsi="Arial" w:cs="Arial"/>
          <w:sz w:val="24"/>
          <w:lang w:val="cs-CZ"/>
        </w:rPr>
      </w:pPr>
      <w:hyperlink r:id="rId9" w:history="1">
        <w:r w:rsidR="00A67130" w:rsidRPr="00A67130">
          <w:rPr>
            <w:rFonts w:ascii="Arial" w:hAnsi="Arial" w:cs="Arial"/>
            <w:color w:val="00002B"/>
            <w:sz w:val="24"/>
            <w:u w:val="single"/>
            <w:lang w:val="cs-CZ"/>
          </w:rPr>
          <w:t>www.skirama.it</w:t>
        </w:r>
      </w:hyperlink>
    </w:p>
    <w:p w:rsidR="00A67130" w:rsidRDefault="00A67130" w:rsidP="00EC50C5">
      <w:pPr>
        <w:suppressAutoHyphens w:val="0"/>
        <w:jc w:val="both"/>
        <w:rPr>
          <w:rFonts w:ascii="Arial" w:hAnsi="Arial" w:cs="Arial"/>
          <w:sz w:val="24"/>
          <w:lang w:val="cs-CZ"/>
        </w:rPr>
      </w:pPr>
    </w:p>
    <w:p w:rsidR="00425F81" w:rsidRPr="00555AE3" w:rsidRDefault="00555AE3" w:rsidP="00EC50C5">
      <w:pPr>
        <w:suppressAutoHyphens w:val="0"/>
        <w:jc w:val="both"/>
        <w:rPr>
          <w:rFonts w:ascii="Arial" w:hAnsi="Arial" w:cs="Arial"/>
          <w:sz w:val="24"/>
          <w:lang w:val="cs-CZ"/>
        </w:rPr>
      </w:pPr>
      <w:hyperlink r:id="rId10" w:history="1">
        <w:r w:rsidRPr="00056617">
          <w:rPr>
            <w:rStyle w:val="Collegamentoipertestuale"/>
            <w:rFonts w:ascii="Arial" w:hAnsi="Arial" w:cs="Arial"/>
            <w:sz w:val="24"/>
            <w:lang w:val="cs-CZ"/>
          </w:rPr>
          <w:t>www.visittrentino.info/dolomiti-superski-a-skirama</w:t>
        </w:r>
      </w:hyperlink>
      <w:r>
        <w:rPr>
          <w:rFonts w:ascii="Arial" w:hAnsi="Arial" w:cs="Arial"/>
          <w:sz w:val="24"/>
          <w:lang w:val="cs-CZ"/>
        </w:rPr>
        <w:t xml:space="preserve"> </w:t>
      </w:r>
      <w:bookmarkStart w:id="0" w:name="_GoBack"/>
      <w:bookmarkEnd w:id="0"/>
    </w:p>
    <w:p w:rsidR="00425F81" w:rsidRPr="00A67130" w:rsidRDefault="00425F81" w:rsidP="00EC50C5">
      <w:pPr>
        <w:suppressAutoHyphens w:val="0"/>
        <w:jc w:val="both"/>
        <w:rPr>
          <w:rFonts w:ascii="Arial" w:hAnsi="Arial" w:cs="Arial"/>
          <w:sz w:val="24"/>
          <w:lang w:val="cs-CZ"/>
        </w:rPr>
      </w:pPr>
    </w:p>
    <w:p w:rsidR="00A67130" w:rsidRPr="00A67130" w:rsidRDefault="00A67130" w:rsidP="00EC50C5">
      <w:pPr>
        <w:suppressAutoHyphens w:val="0"/>
        <w:jc w:val="both"/>
        <w:rPr>
          <w:rFonts w:ascii="Arial" w:hAnsi="Arial" w:cs="Arial"/>
          <w:sz w:val="24"/>
          <w:lang w:val="cs-CZ"/>
        </w:rPr>
      </w:pPr>
      <w:r w:rsidRPr="00A67130">
        <w:rPr>
          <w:rFonts w:ascii="Arial" w:hAnsi="Arial" w:cs="Arial"/>
          <w:sz w:val="24"/>
          <w:lang w:val="cs-CZ"/>
        </w:rPr>
        <w:t>Trento, říjen 2017</w:t>
      </w:r>
    </w:p>
    <w:p w:rsidR="00011034" w:rsidRDefault="00011034" w:rsidP="00EC50C5">
      <w:pPr>
        <w:pStyle w:val="FreeFormA"/>
      </w:pPr>
    </w:p>
    <w:p w:rsidR="00011034" w:rsidRDefault="00011034" w:rsidP="00EC50C5">
      <w:pPr>
        <w:pStyle w:val="FreeFormA"/>
      </w:pPr>
    </w:p>
    <w:sectPr w:rsidR="00011034">
      <w:headerReference w:type="even" r:id="rId11"/>
      <w:headerReference w:type="default" r:id="rId12"/>
      <w:footerReference w:type="even" r:id="rId13"/>
      <w:footerReference w:type="default" r:id="rId14"/>
      <w:pgSz w:w="11900" w:h="16840"/>
      <w:pgMar w:top="2552" w:right="907" w:bottom="1418" w:left="907"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4BF" w:rsidRDefault="002024BF">
      <w:r>
        <w:separator/>
      </w:r>
    </w:p>
  </w:endnote>
  <w:endnote w:type="continuationSeparator" w:id="0">
    <w:p w:rsidR="002024BF" w:rsidRDefault="00202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Arial Bold">
    <w:altName w:val="Arial"/>
    <w:charset w:val="00"/>
    <w:family w:val="auto"/>
    <w:pitch w:val="variable"/>
    <w:sig w:usb0="00000000"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eueLT Std">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CED" w:rsidRDefault="00F64CED">
    <w:pPr>
      <w:pStyle w:val="Pidipagina1"/>
      <w:tabs>
        <w:tab w:val="left" w:pos="9586"/>
      </w:tabs>
      <w:jc w:val="center"/>
    </w:pPr>
    <w:r>
      <w:rPr>
        <w:noProof/>
        <w:lang w:eastAsia="it-IT"/>
      </w:rPr>
      <mc:AlternateContent>
        <mc:Choice Requires="wps">
          <w:drawing>
            <wp:anchor distT="0" distB="0" distL="114300" distR="114300" simplePos="0" relativeHeight="251662848" behindDoc="1" locked="0" layoutInCell="1" allowOverlap="1">
              <wp:simplePos x="0" y="0"/>
              <wp:positionH relativeFrom="page">
                <wp:posOffset>575945</wp:posOffset>
              </wp:positionH>
              <wp:positionV relativeFrom="page">
                <wp:posOffset>9495790</wp:posOffset>
              </wp:positionV>
              <wp:extent cx="6434455" cy="0"/>
              <wp:effectExtent l="17145" t="19050" r="25400"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FE208" id="Line 4"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5pt,747.7pt" to="552pt,7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" strokeweight=".5pt">
              <w10:wrap anchorx="page" anchory="page"/>
            </v:line>
          </w:pict>
        </mc:Fallback>
      </mc:AlternateContent>
    </w:r>
  </w:p>
  <w:tbl>
    <w:tblPr>
      <w:tblW w:w="9866" w:type="dxa"/>
      <w:jc w:val="center"/>
      <w:tblLook w:val="04A0" w:firstRow="1" w:lastRow="0" w:firstColumn="1" w:lastColumn="0" w:noHBand="0" w:noVBand="1"/>
    </w:tblPr>
    <w:tblGrid>
      <w:gridCol w:w="4934"/>
      <w:gridCol w:w="4932"/>
    </w:tblGrid>
    <w:tr w:rsidR="00F64CED" w:rsidTr="00F64CED">
      <w:trPr>
        <w:jc w:val="center"/>
      </w:trPr>
      <w:tc>
        <w:tcPr>
          <w:tcW w:w="4934" w:type="dxa"/>
          <w:hideMark/>
        </w:tcPr>
        <w:p w:rsidR="00F64CED" w:rsidRDefault="00F64CED" w:rsidP="00F64CED">
          <w:pPr>
            <w:pStyle w:val="Pidipagina"/>
            <w:rPr>
              <w:rFonts w:ascii="Arial" w:eastAsiaTheme="minorHAnsi" w:hAnsi="Arial" w:cs="Arial"/>
              <w:b/>
              <w:bCs/>
              <w:color w:val="000000" w:themeColor="text1"/>
              <w:sz w:val="18"/>
              <w:szCs w:val="18"/>
              <w:lang w:eastAsia="it-IT"/>
            </w:rPr>
          </w:pPr>
          <w:r>
            <w:rPr>
              <w:rFonts w:ascii="Arial" w:hAnsi="Arial" w:cs="Arial"/>
              <w:b/>
              <w:bCs/>
              <w:color w:val="000000" w:themeColor="text1"/>
              <w:sz w:val="18"/>
              <w:szCs w:val="18"/>
              <w:lang w:eastAsia="it-IT"/>
            </w:rPr>
            <w:t>UFFICIO MEDIA PR</w:t>
          </w:r>
        </w:p>
        <w:p w:rsidR="00F64CED" w:rsidRDefault="00F64CED" w:rsidP="00F64CE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Tel. (</w:t>
          </w:r>
          <w:r w:rsidRPr="00F64CED">
            <w:rPr>
              <w:rFonts w:ascii="Arial" w:hAnsi="Arial" w:cs="Arial"/>
              <w:color w:val="000000" w:themeColor="text1"/>
              <w:sz w:val="18"/>
              <w:szCs w:val="18"/>
              <w:lang w:eastAsia="it-IT"/>
            </w:rPr>
            <w:t>+39) 0461 219355</w:t>
          </w:r>
        </w:p>
        <w:p w:rsidR="00F64CED" w:rsidRDefault="00F64CED" w:rsidP="00F64CE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press@trentinomarketing.org</w:t>
          </w:r>
        </w:p>
        <w:p w:rsidR="00F64CED" w:rsidRDefault="00F64CED" w:rsidP="00F64CED">
          <w:pPr>
            <w:pStyle w:val="Pidipagina"/>
            <w:rPr>
              <w:rFonts w:ascii="HelveticaNeueLT Std" w:hAnsi="HelveticaNeueLT Std" w:cs="Arial"/>
              <w:color w:val="auto"/>
              <w:sz w:val="20"/>
              <w:lang w:eastAsia="it-IT"/>
            </w:rPr>
          </w:pPr>
          <w:r>
            <w:rPr>
              <w:rFonts w:ascii="HelveticaNeueLT Std" w:hAnsi="HelveticaNeueLT Std" w:cs="Arial"/>
              <w:noProof/>
              <w:color w:val="000000" w:themeColor="text1"/>
              <w:sz w:val="20"/>
              <w:lang w:eastAsia="it-IT"/>
            </w:rPr>
            <w:drawing>
              <wp:inline distT="0" distB="0" distL="0" distR="0">
                <wp:extent cx="160020" cy="137160"/>
                <wp:effectExtent l="0" t="0" r="0" b="0"/>
                <wp:docPr id="6" name="Immagine 6"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 cy="137160"/>
                        </a:xfrm>
                        <a:prstGeom prst="rect">
                          <a:avLst/>
                        </a:prstGeom>
                        <a:noFill/>
                        <a:ln>
                          <a:noFill/>
                        </a:ln>
                      </pic:spPr>
                    </pic:pic>
                  </a:graphicData>
                </a:graphic>
              </wp:inline>
            </w:drawing>
          </w:r>
          <w:r>
            <w:rPr>
              <w:rFonts w:ascii="Arial" w:hAnsi="Arial" w:cs="Arial"/>
              <w:color w:val="000000" w:themeColor="text1"/>
              <w:sz w:val="18"/>
              <w:szCs w:val="18"/>
              <w:lang w:eastAsia="it-IT"/>
            </w:rPr>
            <w:t>@</w:t>
          </w:r>
          <w:proofErr w:type="spellStart"/>
          <w:r>
            <w:rPr>
              <w:rFonts w:ascii="Arial" w:hAnsi="Arial" w:cs="Arial"/>
              <w:color w:val="000000" w:themeColor="text1"/>
              <w:sz w:val="18"/>
              <w:szCs w:val="18"/>
              <w:lang w:eastAsia="it-IT"/>
            </w:rPr>
            <w:t>Press</w:t>
          </w:r>
          <w:r>
            <w:rPr>
              <w:rFonts w:ascii="Arial" w:hAnsi="Arial" w:cs="Arial"/>
              <w:color w:val="000000" w:themeColor="text1"/>
              <w:sz w:val="18"/>
              <w:szCs w:val="18"/>
              <w:lang w:eastAsia="it-IT"/>
            </w:rPr>
            <w:softHyphen/>
          </w:r>
          <w:r>
            <w:rPr>
              <w:rFonts w:ascii="Arial" w:hAnsi="Arial" w:cs="Arial"/>
              <w:color w:val="000000" w:themeColor="text1"/>
              <w:sz w:val="18"/>
              <w:szCs w:val="18"/>
              <w:lang w:eastAsia="it-IT"/>
            </w:rPr>
            <w:softHyphen/>
            <w:t>Trentino</w:t>
          </w:r>
          <w:proofErr w:type="spellEnd"/>
        </w:p>
      </w:tc>
      <w:tc>
        <w:tcPr>
          <w:tcW w:w="4932" w:type="dxa"/>
        </w:tcPr>
        <w:p w:rsidR="00F64CED" w:rsidRDefault="00F64CED" w:rsidP="00F64CED">
          <w:pPr>
            <w:pStyle w:val="Pidipagina"/>
            <w:jc w:val="right"/>
            <w:rPr>
              <w:rFonts w:ascii="HelveticaNeueLT Std" w:hAnsi="HelveticaNeueLT Std" w:cs="Arial"/>
              <w:sz w:val="20"/>
              <w:lang w:eastAsia="it-IT"/>
            </w:rPr>
          </w:pPr>
          <w:r>
            <w:rPr>
              <w:rFonts w:ascii="HelveticaNeueLT Std" w:hAnsi="HelveticaNeueLT Std" w:cs="Arial"/>
              <w:noProof/>
              <w:color w:val="00638E"/>
              <w:sz w:val="20"/>
              <w:lang w:eastAsia="it-IT"/>
            </w:rPr>
            <w:drawing>
              <wp:inline distT="0" distB="0" distL="0" distR="0">
                <wp:extent cx="1127760" cy="4191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760" cy="419100"/>
                        </a:xfrm>
                        <a:prstGeom prst="rect">
                          <a:avLst/>
                        </a:prstGeom>
                        <a:noFill/>
                        <a:ln>
                          <a:noFill/>
                        </a:ln>
                      </pic:spPr>
                    </pic:pic>
                  </a:graphicData>
                </a:graphic>
              </wp:inline>
            </w:drawing>
          </w:r>
        </w:p>
        <w:p w:rsidR="00F64CED" w:rsidRDefault="00F64CED" w:rsidP="00F64CED">
          <w:pPr>
            <w:pStyle w:val="Pidipagina"/>
            <w:jc w:val="right"/>
            <w:rPr>
              <w:rFonts w:ascii="HelveticaNeueLT Std" w:hAnsi="HelveticaNeueLT Std" w:cs="Arial"/>
              <w:sz w:val="20"/>
              <w:lang w:eastAsia="it-IT"/>
            </w:rPr>
          </w:pPr>
        </w:p>
      </w:tc>
    </w:tr>
  </w:tbl>
  <w:p w:rsidR="00F64CED" w:rsidRDefault="00F64CED" w:rsidP="00F64CED">
    <w:pPr>
      <w:pStyle w:val="Pidipagina1"/>
      <w:tabs>
        <w:tab w:val="left" w:pos="7368"/>
        <w:tab w:val="left" w:pos="958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034" w:rsidRDefault="00011034">
    <w:pPr>
      <w:pStyle w:val="Pidipagina1"/>
      <w:tabs>
        <w:tab w:val="left" w:pos="9586"/>
      </w:tabs>
      <w:jc w:val="center"/>
    </w:pPr>
  </w:p>
  <w:p w:rsidR="00F64CED" w:rsidRDefault="00F64CED">
    <w:pPr>
      <w:pStyle w:val="Pidipagina1"/>
      <w:tabs>
        <w:tab w:val="left" w:pos="9586"/>
      </w:tabs>
      <w:jc w:val="center"/>
    </w:pPr>
    <w:r>
      <w:rPr>
        <w:noProof/>
        <w:lang w:eastAsia="it-IT"/>
      </w:rPr>
      <mc:AlternateContent>
        <mc:Choice Requires="wps">
          <w:drawing>
            <wp:anchor distT="0" distB="0" distL="114300" distR="114300" simplePos="0" relativeHeight="251658752" behindDoc="1" locked="0" layoutInCell="1" allowOverlap="1">
              <wp:simplePos x="0" y="0"/>
              <wp:positionH relativeFrom="page">
                <wp:posOffset>583565</wp:posOffset>
              </wp:positionH>
              <wp:positionV relativeFrom="page">
                <wp:posOffset>9480550</wp:posOffset>
              </wp:positionV>
              <wp:extent cx="6434455" cy="0"/>
              <wp:effectExtent l="17145" t="19050" r="2540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88145"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95pt,746.5pt" to="552.6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" strokeweight=".5pt">
              <w10:wrap anchorx="page" anchory="page"/>
            </v:line>
          </w:pict>
        </mc:Fallback>
      </mc:AlternateContent>
    </w:r>
  </w:p>
  <w:tbl>
    <w:tblPr>
      <w:tblW w:w="9866" w:type="dxa"/>
      <w:jc w:val="center"/>
      <w:tblLook w:val="04A0" w:firstRow="1" w:lastRow="0" w:firstColumn="1" w:lastColumn="0" w:noHBand="0" w:noVBand="1"/>
    </w:tblPr>
    <w:tblGrid>
      <w:gridCol w:w="4934"/>
      <w:gridCol w:w="4932"/>
    </w:tblGrid>
    <w:tr w:rsidR="00F64CED" w:rsidTr="008B172E">
      <w:trPr>
        <w:jc w:val="center"/>
      </w:trPr>
      <w:tc>
        <w:tcPr>
          <w:tcW w:w="4934" w:type="dxa"/>
          <w:hideMark/>
        </w:tcPr>
        <w:p w:rsidR="00F64CED" w:rsidRDefault="00F64CED" w:rsidP="00F64CED">
          <w:pPr>
            <w:pStyle w:val="Pidipagina"/>
            <w:rPr>
              <w:rFonts w:ascii="Arial" w:eastAsiaTheme="minorHAnsi" w:hAnsi="Arial" w:cs="Arial"/>
              <w:b/>
              <w:bCs/>
              <w:color w:val="000000" w:themeColor="text1"/>
              <w:sz w:val="18"/>
              <w:szCs w:val="18"/>
              <w:lang w:eastAsia="it-IT"/>
            </w:rPr>
          </w:pPr>
          <w:r>
            <w:rPr>
              <w:rFonts w:ascii="Arial" w:hAnsi="Arial" w:cs="Arial"/>
              <w:b/>
              <w:bCs/>
              <w:color w:val="000000" w:themeColor="text1"/>
              <w:sz w:val="18"/>
              <w:szCs w:val="18"/>
              <w:lang w:eastAsia="it-IT"/>
            </w:rPr>
            <w:t>UFFICIO MEDIA PR</w:t>
          </w:r>
        </w:p>
        <w:p w:rsidR="00F64CED" w:rsidRDefault="00F64CED" w:rsidP="00F64CE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Tel. (</w:t>
          </w:r>
          <w:r w:rsidRPr="00F64CED">
            <w:rPr>
              <w:rFonts w:ascii="Arial" w:hAnsi="Arial" w:cs="Arial"/>
              <w:color w:val="000000" w:themeColor="text1"/>
              <w:sz w:val="18"/>
              <w:szCs w:val="18"/>
              <w:lang w:eastAsia="it-IT"/>
            </w:rPr>
            <w:t>+39) 0461 219355</w:t>
          </w:r>
        </w:p>
        <w:p w:rsidR="00F64CED" w:rsidRDefault="00F64CED" w:rsidP="00F64CE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press@trentinomarketing.org</w:t>
          </w:r>
        </w:p>
        <w:p w:rsidR="00F64CED" w:rsidRDefault="00F64CED" w:rsidP="00F64CED">
          <w:pPr>
            <w:pStyle w:val="Pidipagina"/>
            <w:rPr>
              <w:rFonts w:ascii="HelveticaNeueLT Std" w:hAnsi="HelveticaNeueLT Std" w:cs="Arial"/>
              <w:color w:val="auto"/>
              <w:sz w:val="20"/>
              <w:lang w:eastAsia="it-IT"/>
            </w:rPr>
          </w:pPr>
          <w:r>
            <w:rPr>
              <w:rFonts w:ascii="HelveticaNeueLT Std" w:hAnsi="HelveticaNeueLT Std" w:cs="Arial"/>
              <w:noProof/>
              <w:color w:val="000000" w:themeColor="text1"/>
              <w:sz w:val="20"/>
              <w:lang w:eastAsia="it-IT"/>
            </w:rPr>
            <w:drawing>
              <wp:inline distT="0" distB="0" distL="0" distR="0" wp14:anchorId="1347D4AC" wp14:editId="45B68647">
                <wp:extent cx="160020" cy="137160"/>
                <wp:effectExtent l="0" t="0" r="0" b="0"/>
                <wp:docPr id="11" name="Immagine 11"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 cy="137160"/>
                        </a:xfrm>
                        <a:prstGeom prst="rect">
                          <a:avLst/>
                        </a:prstGeom>
                        <a:noFill/>
                        <a:ln>
                          <a:noFill/>
                        </a:ln>
                      </pic:spPr>
                    </pic:pic>
                  </a:graphicData>
                </a:graphic>
              </wp:inline>
            </w:drawing>
          </w:r>
          <w:r>
            <w:rPr>
              <w:rFonts w:ascii="Arial" w:hAnsi="Arial" w:cs="Arial"/>
              <w:color w:val="000000" w:themeColor="text1"/>
              <w:sz w:val="18"/>
              <w:szCs w:val="18"/>
              <w:lang w:eastAsia="it-IT"/>
            </w:rPr>
            <w:t>@</w:t>
          </w:r>
          <w:proofErr w:type="spellStart"/>
          <w:r>
            <w:rPr>
              <w:rFonts w:ascii="Arial" w:hAnsi="Arial" w:cs="Arial"/>
              <w:color w:val="000000" w:themeColor="text1"/>
              <w:sz w:val="18"/>
              <w:szCs w:val="18"/>
              <w:lang w:eastAsia="it-IT"/>
            </w:rPr>
            <w:t>Press</w:t>
          </w:r>
          <w:r>
            <w:rPr>
              <w:rFonts w:ascii="Arial" w:hAnsi="Arial" w:cs="Arial"/>
              <w:color w:val="000000" w:themeColor="text1"/>
              <w:sz w:val="18"/>
              <w:szCs w:val="18"/>
              <w:lang w:eastAsia="it-IT"/>
            </w:rPr>
            <w:softHyphen/>
          </w:r>
          <w:r>
            <w:rPr>
              <w:rFonts w:ascii="Arial" w:hAnsi="Arial" w:cs="Arial"/>
              <w:color w:val="000000" w:themeColor="text1"/>
              <w:sz w:val="18"/>
              <w:szCs w:val="18"/>
              <w:lang w:eastAsia="it-IT"/>
            </w:rPr>
            <w:softHyphen/>
            <w:t>Trentino</w:t>
          </w:r>
          <w:proofErr w:type="spellEnd"/>
        </w:p>
      </w:tc>
      <w:tc>
        <w:tcPr>
          <w:tcW w:w="4932" w:type="dxa"/>
        </w:tcPr>
        <w:p w:rsidR="00F64CED" w:rsidRDefault="00F64CED" w:rsidP="00F64CED">
          <w:pPr>
            <w:pStyle w:val="Pidipagina"/>
            <w:jc w:val="right"/>
            <w:rPr>
              <w:rFonts w:ascii="HelveticaNeueLT Std" w:hAnsi="HelveticaNeueLT Std" w:cs="Arial"/>
              <w:sz w:val="20"/>
              <w:lang w:eastAsia="it-IT"/>
            </w:rPr>
          </w:pPr>
          <w:r>
            <w:rPr>
              <w:rFonts w:ascii="HelveticaNeueLT Std" w:hAnsi="HelveticaNeueLT Std" w:cs="Arial"/>
              <w:noProof/>
              <w:color w:val="00638E"/>
              <w:sz w:val="20"/>
              <w:lang w:eastAsia="it-IT"/>
            </w:rPr>
            <w:drawing>
              <wp:inline distT="0" distB="0" distL="0" distR="0" wp14:anchorId="064A29B0" wp14:editId="662DFAE2">
                <wp:extent cx="1127760" cy="4191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760" cy="419100"/>
                        </a:xfrm>
                        <a:prstGeom prst="rect">
                          <a:avLst/>
                        </a:prstGeom>
                        <a:noFill/>
                        <a:ln>
                          <a:noFill/>
                        </a:ln>
                      </pic:spPr>
                    </pic:pic>
                  </a:graphicData>
                </a:graphic>
              </wp:inline>
            </w:drawing>
          </w:r>
        </w:p>
        <w:p w:rsidR="00F64CED" w:rsidRDefault="00F64CED" w:rsidP="00F64CED">
          <w:pPr>
            <w:pStyle w:val="Pidipagina"/>
            <w:jc w:val="right"/>
            <w:rPr>
              <w:rFonts w:ascii="HelveticaNeueLT Std" w:hAnsi="HelveticaNeueLT Std" w:cs="Arial"/>
              <w:sz w:val="20"/>
              <w:lang w:eastAsia="it-IT"/>
            </w:rPr>
          </w:pPr>
        </w:p>
      </w:tc>
    </w:tr>
  </w:tbl>
  <w:p w:rsidR="00F64CED" w:rsidRDefault="00F64CED">
    <w:pPr>
      <w:pStyle w:val="Pidipagina1"/>
      <w:tabs>
        <w:tab w:val="left" w:pos="9586"/>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4BF" w:rsidRDefault="002024BF">
      <w:r>
        <w:separator/>
      </w:r>
    </w:p>
  </w:footnote>
  <w:footnote w:type="continuationSeparator" w:id="0">
    <w:p w:rsidR="002024BF" w:rsidRDefault="00202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034" w:rsidRDefault="00011034">
    <w:pPr>
      <w:pStyle w:val="Intestazione1"/>
      <w:tabs>
        <w:tab w:val="left" w:pos="9586"/>
      </w:tabs>
      <w:jc w:val="center"/>
    </w:pPr>
  </w:p>
  <w:p w:rsidR="00011034" w:rsidRDefault="00F64CED" w:rsidP="00F64CED">
    <w:pPr>
      <w:pStyle w:val="Intestazione1"/>
      <w:tabs>
        <w:tab w:val="left" w:pos="9586"/>
      </w:tabs>
      <w:rPr>
        <w:rFonts w:ascii="Times New Roman" w:eastAsia="Times New Roman" w:hAnsi="Times New Roman"/>
        <w:color w:val="auto"/>
        <w:sz w:val="20"/>
        <w:lang w:val="cs-CZ" w:bidi="x-none"/>
      </w:rPr>
    </w:pPr>
    <w:r>
      <w:rPr>
        <w:noProof/>
        <w:lang w:eastAsia="it-IT"/>
      </w:rPr>
      <w:drawing>
        <wp:inline distT="0" distB="0" distL="0" distR="0" wp14:anchorId="76938C44" wp14:editId="5EFF7CE4">
          <wp:extent cx="1578610" cy="675005"/>
          <wp:effectExtent l="0" t="0" r="2540" b="0"/>
          <wp:docPr id="7" name="Immagine 7" descr="Trentino%20italian%20alpine%20experience.png"/>
          <wp:cNvGraphicFramePr/>
          <a:graphic xmlns:a="http://schemas.openxmlformats.org/drawingml/2006/main">
            <a:graphicData uri="http://schemas.openxmlformats.org/drawingml/2006/picture">
              <pic:pic xmlns:pic="http://schemas.openxmlformats.org/drawingml/2006/picture">
                <pic:nvPicPr>
                  <pic:cNvPr id="6" name="Immagine 6" descr="Trentino%20italian%20alpine%20experience.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67500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034" w:rsidRDefault="00011034">
    <w:pPr>
      <w:pStyle w:val="Intestazione1"/>
      <w:tabs>
        <w:tab w:val="left" w:pos="9586"/>
      </w:tabs>
      <w:jc w:val="center"/>
    </w:pPr>
  </w:p>
  <w:p w:rsidR="00011034" w:rsidRDefault="00F64CED" w:rsidP="00F64CED">
    <w:pPr>
      <w:pStyle w:val="Intestazione1"/>
      <w:tabs>
        <w:tab w:val="left" w:pos="9586"/>
      </w:tabs>
      <w:rPr>
        <w:rFonts w:ascii="Times New Roman" w:eastAsia="Times New Roman" w:hAnsi="Times New Roman"/>
        <w:color w:val="auto"/>
        <w:sz w:val="20"/>
        <w:lang w:val="cs-CZ" w:bidi="x-none"/>
      </w:rPr>
    </w:pPr>
    <w:r>
      <w:rPr>
        <w:noProof/>
        <w:lang w:eastAsia="it-IT"/>
      </w:rPr>
      <w:drawing>
        <wp:inline distT="0" distB="0" distL="0" distR="0" wp14:anchorId="5AEBEA35" wp14:editId="2FC7E058">
          <wp:extent cx="1578610" cy="675005"/>
          <wp:effectExtent l="0" t="0" r="2540" b="0"/>
          <wp:docPr id="8" name="Immagine 8" descr="Trentino%20italian%20alpine%20experience.png"/>
          <wp:cNvGraphicFramePr/>
          <a:graphic xmlns:a="http://schemas.openxmlformats.org/drawingml/2006/main">
            <a:graphicData uri="http://schemas.openxmlformats.org/drawingml/2006/picture">
              <pic:pic xmlns:pic="http://schemas.openxmlformats.org/drawingml/2006/picture">
                <pic:nvPicPr>
                  <pic:cNvPr id="6" name="Immagine 6" descr="Trentino%20italian%20alpine%20experience.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6750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bullet"/>
      <w:lvlText w:val="•"/>
      <w:lvlJc w:val="left"/>
      <w:pPr>
        <w:tabs>
          <w:tab w:val="num" w:pos="500"/>
        </w:tabs>
        <w:ind w:left="500" w:firstLine="220"/>
      </w:pPr>
      <w:rPr>
        <w:rFonts w:hint="default"/>
        <w:position w:val="0"/>
        <w:sz w:val="22"/>
      </w:rPr>
    </w:lvl>
    <w:lvl w:ilvl="1">
      <w:start w:val="1"/>
      <w:numFmt w:val="bullet"/>
      <w:suff w:val="nothing"/>
      <w:lvlText w:val=""/>
      <w:lvlJc w:val="left"/>
      <w:pPr>
        <w:ind w:left="0" w:firstLine="720"/>
      </w:pPr>
      <w:rPr>
        <w:rFonts w:hint="default"/>
        <w:position w:val="0"/>
        <w:sz w:val="22"/>
      </w:rPr>
    </w:lvl>
    <w:lvl w:ilvl="2">
      <w:start w:val="1"/>
      <w:numFmt w:val="bullet"/>
      <w:suff w:val="nothing"/>
      <w:lvlText w:val=""/>
      <w:lvlJc w:val="left"/>
      <w:pPr>
        <w:ind w:left="0" w:firstLine="1440"/>
      </w:pPr>
      <w:rPr>
        <w:rFonts w:hint="default"/>
        <w:position w:val="0"/>
        <w:sz w:val="22"/>
      </w:rPr>
    </w:lvl>
    <w:lvl w:ilvl="3">
      <w:start w:val="1"/>
      <w:numFmt w:val="bullet"/>
      <w:suff w:val="nothing"/>
      <w:lvlText w:val=""/>
      <w:lvlJc w:val="left"/>
      <w:pPr>
        <w:ind w:left="0" w:firstLine="2160"/>
      </w:pPr>
      <w:rPr>
        <w:rFonts w:hint="default"/>
        <w:position w:val="0"/>
        <w:sz w:val="22"/>
      </w:rPr>
    </w:lvl>
    <w:lvl w:ilvl="4">
      <w:start w:val="1"/>
      <w:numFmt w:val="bullet"/>
      <w:suff w:val="nothing"/>
      <w:lvlText w:val=""/>
      <w:lvlJc w:val="left"/>
      <w:pPr>
        <w:ind w:left="0" w:firstLine="2880"/>
      </w:pPr>
      <w:rPr>
        <w:rFonts w:hint="default"/>
        <w:position w:val="0"/>
        <w:sz w:val="22"/>
      </w:rPr>
    </w:lvl>
    <w:lvl w:ilvl="5">
      <w:start w:val="1"/>
      <w:numFmt w:val="bullet"/>
      <w:suff w:val="nothing"/>
      <w:lvlText w:val=""/>
      <w:lvlJc w:val="left"/>
      <w:pPr>
        <w:ind w:left="0" w:firstLine="3600"/>
      </w:pPr>
      <w:rPr>
        <w:rFonts w:hint="default"/>
        <w:position w:val="0"/>
        <w:sz w:val="22"/>
      </w:rPr>
    </w:lvl>
    <w:lvl w:ilvl="6">
      <w:start w:val="1"/>
      <w:numFmt w:val="bullet"/>
      <w:suff w:val="nothing"/>
      <w:lvlText w:val=""/>
      <w:lvlJc w:val="left"/>
      <w:pPr>
        <w:ind w:left="0" w:firstLine="4320"/>
      </w:pPr>
      <w:rPr>
        <w:rFonts w:hint="default"/>
        <w:position w:val="0"/>
        <w:sz w:val="22"/>
      </w:rPr>
    </w:lvl>
    <w:lvl w:ilvl="7">
      <w:start w:val="1"/>
      <w:numFmt w:val="bullet"/>
      <w:suff w:val="nothing"/>
      <w:lvlText w:val=""/>
      <w:lvlJc w:val="left"/>
      <w:pPr>
        <w:ind w:left="0" w:firstLine="5040"/>
      </w:pPr>
      <w:rPr>
        <w:rFonts w:hint="default"/>
        <w:position w:val="0"/>
        <w:sz w:val="22"/>
      </w:rPr>
    </w:lvl>
    <w:lvl w:ilvl="8">
      <w:start w:val="1"/>
      <w:numFmt w:val="bullet"/>
      <w:suff w:val="nothing"/>
      <w:lvlText w:val=""/>
      <w:lvlJc w:val="left"/>
      <w:pPr>
        <w:ind w:left="0" w:firstLine="5760"/>
      </w:pPr>
      <w:rPr>
        <w:rFonts w:hint="default"/>
        <w:position w:val="0"/>
        <w:sz w:val="2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283"/>
  <w:defaultTableStyle w:val="Normale"/>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EFC"/>
    <w:rsid w:val="00011034"/>
    <w:rsid w:val="002024BF"/>
    <w:rsid w:val="002F6B15"/>
    <w:rsid w:val="00425F81"/>
    <w:rsid w:val="00555AE3"/>
    <w:rsid w:val="005A684D"/>
    <w:rsid w:val="005B04D2"/>
    <w:rsid w:val="00650967"/>
    <w:rsid w:val="00A67130"/>
    <w:rsid w:val="00D25EFC"/>
    <w:rsid w:val="00EC50C5"/>
    <w:rsid w:val="00F623F0"/>
    <w:rsid w:val="00F64CED"/>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3"/>
    </o:shapelayout>
  </w:shapeDefaults>
  <w:doNotEmbedSmartTags/>
  <w:decimalSymbol w:val=","/>
  <w:listSeparator w:val=";"/>
  <w14:defaultImageDpi w14:val="300"/>
  <w15:docId w15:val="{4CFB9B2B-6D55-40E6-94F7-678021F58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pPr>
    <w:rPr>
      <w:rFonts w:ascii="Lucida Grande" w:eastAsia="ヒラギノ角ゴ Pro W3" w:hAnsi="Lucida Grande"/>
      <w:color w:val="000000"/>
      <w:sz w:val="22"/>
      <w:szCs w:val="24"/>
      <w:lang w:val="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testazione1">
    <w:name w:val="Intestazione1"/>
    <w:pPr>
      <w:tabs>
        <w:tab w:val="center" w:pos="4819"/>
        <w:tab w:val="right" w:pos="9638"/>
      </w:tabs>
    </w:pPr>
    <w:rPr>
      <w:rFonts w:ascii="Arial" w:eastAsia="ヒラギノ角ゴ Pro W3" w:hAnsi="Arial"/>
      <w:color w:val="000000"/>
      <w:sz w:val="24"/>
      <w:lang w:val="it-IT"/>
    </w:rPr>
  </w:style>
  <w:style w:type="paragraph" w:customStyle="1" w:styleId="Pidipagina1">
    <w:name w:val="Piè di pagina1"/>
    <w:pPr>
      <w:tabs>
        <w:tab w:val="center" w:pos="4819"/>
        <w:tab w:val="right" w:pos="9638"/>
      </w:tabs>
    </w:pPr>
    <w:rPr>
      <w:rFonts w:ascii="Arial" w:eastAsia="ヒラギノ角ゴ Pro W3" w:hAnsi="Arial"/>
      <w:color w:val="000000"/>
      <w:sz w:val="24"/>
      <w:lang w:val="it-IT"/>
    </w:rPr>
  </w:style>
  <w:style w:type="paragraph" w:customStyle="1" w:styleId="FreeFormA">
    <w:name w:val="Free Form A"/>
    <w:autoRedefine/>
    <w:rsid w:val="002F6B15"/>
    <w:pPr>
      <w:spacing w:after="320"/>
      <w:jc w:val="both"/>
    </w:pPr>
    <w:rPr>
      <w:rFonts w:ascii="Arial Bold" w:eastAsia="ヒラギノ角ゴ Pro W3" w:hAnsi="Arial Bold"/>
      <w:b/>
      <w:color w:val="000000"/>
      <w:sz w:val="28"/>
      <w:szCs w:val="28"/>
    </w:rPr>
  </w:style>
  <w:style w:type="paragraph" w:customStyle="1" w:styleId="Normln">
    <w:name w:val="Normální"/>
    <w:rPr>
      <w:rFonts w:eastAsia="ヒラギノ角ゴ Pro W3"/>
      <w:color w:val="000000"/>
      <w:sz w:val="24"/>
    </w:rPr>
  </w:style>
  <w:style w:type="paragraph" w:customStyle="1" w:styleId="FreeFormB">
    <w:name w:val="Free Form B"/>
    <w:rPr>
      <w:rFonts w:eastAsia="ヒラギノ角ゴ Pro W3"/>
      <w:color w:val="000000"/>
    </w:rPr>
  </w:style>
  <w:style w:type="paragraph" w:styleId="Paragrafoelenco">
    <w:name w:val="List Paragraph"/>
    <w:qFormat/>
    <w:pPr>
      <w:suppressAutoHyphens/>
      <w:ind w:left="720"/>
    </w:pPr>
    <w:rPr>
      <w:rFonts w:ascii="Lucida Grande" w:eastAsia="ヒラギノ角ゴ Pro W3" w:hAnsi="Lucida Grande"/>
      <w:color w:val="000000"/>
      <w:sz w:val="22"/>
      <w:lang w:val="it-IT"/>
    </w:rPr>
  </w:style>
  <w:style w:type="paragraph" w:customStyle="1" w:styleId="FreeFormBA">
    <w:name w:val="Free Form B A"/>
    <w:rPr>
      <w:rFonts w:ascii="Helvetica" w:eastAsia="ヒラギノ角ゴ Pro W3" w:hAnsi="Helvetica"/>
      <w:color w:val="000000"/>
      <w:sz w:val="24"/>
    </w:rPr>
  </w:style>
  <w:style w:type="paragraph" w:styleId="Intestazione">
    <w:name w:val="header"/>
    <w:basedOn w:val="Normale"/>
    <w:link w:val="IntestazioneCarattere"/>
    <w:unhideWhenUsed/>
    <w:locked/>
    <w:rsid w:val="00F64CED"/>
    <w:pPr>
      <w:tabs>
        <w:tab w:val="center" w:pos="4819"/>
        <w:tab w:val="right" w:pos="9638"/>
      </w:tabs>
    </w:pPr>
  </w:style>
  <w:style w:type="character" w:customStyle="1" w:styleId="IntestazioneCarattere">
    <w:name w:val="Intestazione Carattere"/>
    <w:basedOn w:val="Carpredefinitoparagrafo"/>
    <w:link w:val="Intestazione"/>
    <w:rsid w:val="00F64CED"/>
    <w:rPr>
      <w:rFonts w:ascii="Lucida Grande" w:eastAsia="ヒラギノ角ゴ Pro W3" w:hAnsi="Lucida Grande"/>
      <w:color w:val="000000"/>
      <w:sz w:val="22"/>
      <w:szCs w:val="24"/>
      <w:lang w:val="it-IT"/>
    </w:rPr>
  </w:style>
  <w:style w:type="paragraph" w:styleId="Pidipagina">
    <w:name w:val="footer"/>
    <w:basedOn w:val="Normale"/>
    <w:link w:val="PidipaginaCarattere"/>
    <w:unhideWhenUsed/>
    <w:locked/>
    <w:rsid w:val="00F64CED"/>
    <w:pPr>
      <w:tabs>
        <w:tab w:val="center" w:pos="4819"/>
        <w:tab w:val="right" w:pos="9638"/>
      </w:tabs>
    </w:pPr>
  </w:style>
  <w:style w:type="character" w:customStyle="1" w:styleId="PidipaginaCarattere">
    <w:name w:val="Piè di pagina Carattere"/>
    <w:basedOn w:val="Carpredefinitoparagrafo"/>
    <w:link w:val="Pidipagina"/>
    <w:rsid w:val="00F64CED"/>
    <w:rPr>
      <w:rFonts w:ascii="Lucida Grande" w:eastAsia="ヒラギノ角ゴ Pro W3" w:hAnsi="Lucida Grande"/>
      <w:color w:val="000000"/>
      <w:sz w:val="22"/>
      <w:szCs w:val="24"/>
      <w:lang w:val="it-IT"/>
    </w:rPr>
  </w:style>
  <w:style w:type="character" w:styleId="Collegamentoipertestuale">
    <w:name w:val="Hyperlink"/>
    <w:basedOn w:val="Carpredefinitoparagrafo"/>
    <w:locked/>
    <w:rsid w:val="00555A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672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olomitisuperski.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dolomitisuperski.com/hss"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visittrentino.info/dolomiti-superski-a-skirama" TargetMode="External"/><Relationship Id="rId4" Type="http://schemas.openxmlformats.org/officeDocument/2006/relationships/webSettings" Target="webSettings.xml"/><Relationship Id="rId9" Type="http://schemas.openxmlformats.org/officeDocument/2006/relationships/hyperlink" Target="http://www.skirama.it"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743</Words>
  <Characters>4527</Characters>
  <Application>Microsoft Office Word</Application>
  <DocSecurity>0</DocSecurity>
  <Lines>37</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Titolo titolo</vt:lpstr>
      <vt:lpstr>Titolo titolo</vt:lpstr>
    </vt:vector>
  </TitlesOfParts>
  <Company>lucie.chvojkova@icloud.com</Company>
  <LinksUpToDate>false</LinksUpToDate>
  <CharactersWithSpaces>5260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depolc</dc:creator>
  <cp:keywords/>
  <cp:lastModifiedBy>Gerola Fabio</cp:lastModifiedBy>
  <cp:revision>5</cp:revision>
  <dcterms:created xsi:type="dcterms:W3CDTF">2017-10-06T07:49:00Z</dcterms:created>
  <dcterms:modified xsi:type="dcterms:W3CDTF">2017-10-12T12:44:00Z</dcterms:modified>
</cp:coreProperties>
</file>